
<file path=[Content_Types].xml><?xml version="1.0" encoding="utf-8"?>
<Types xmlns="http://schemas.openxmlformats.org/package/2006/content-types">
  <Override PartName="/word/footnotes.xml" ContentType="application/vnd.openxmlformats-officedocument.wordprocessingml.footnotes+xml"/>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2363" w:rsidRDefault="00C82363">
      <w:pPr>
        <w:jc w:val="center"/>
      </w:pPr>
      <w:r>
        <w:rPr>
          <w:rFonts w:hint="eastAsia"/>
        </w:rPr>
        <w:t>重庆市渝北区辐射事故应急预案</w:t>
      </w:r>
    </w:p>
    <w:p w:rsidR="00C82363" w:rsidRDefault="00C82363">
      <w:pPr>
        <w:jc w:val="center"/>
        <w:rPr>
          <w:rFonts w:ascii="仿宋" w:cs="仿宋"/>
          <w:szCs w:val="32"/>
        </w:rPr>
      </w:pPr>
      <w:r>
        <w:rPr>
          <w:rFonts w:ascii="仿宋" w:hAnsi="仿宋" w:cs="仿宋" w:hint="eastAsia"/>
          <w:szCs w:val="32"/>
        </w:rPr>
        <w:t>目录</w:t>
      </w:r>
      <w:bookmarkStart w:id="0" w:name="_GoBack"/>
      <w:bookmarkEnd w:id="0"/>
    </w:p>
    <w:p w:rsidR="00C82363" w:rsidRDefault="00C82363">
      <w:pPr>
        <w:pStyle w:val="TOC1"/>
        <w:tabs>
          <w:tab w:val="right" w:leader="dot" w:pos="8844"/>
        </w:tabs>
      </w:pPr>
      <w:r>
        <w:fldChar w:fldCharType="begin"/>
      </w:r>
      <w:r>
        <w:instrText xml:space="preserve">TOC \o "1-2" \h \u </w:instrText>
      </w:r>
      <w:r>
        <w:fldChar w:fldCharType="separate"/>
      </w:r>
      <w:hyperlink w:anchor="_Toc425" w:history="1">
        <w:r>
          <w:t>1</w:t>
        </w:r>
        <w:r>
          <w:rPr>
            <w:rFonts w:hint="eastAsia"/>
          </w:rPr>
          <w:t>总则</w:t>
        </w:r>
        <w:r>
          <w:tab/>
        </w:r>
        <w:r>
          <w:fldChar w:fldCharType="begin"/>
        </w:r>
        <w:r>
          <w:instrText xml:space="preserve"> PAGEREF _Toc425 \h </w:instrText>
        </w:r>
        <w:r>
          <w:fldChar w:fldCharType="separate"/>
        </w:r>
        <w:r>
          <w:rPr>
            <w:noProof/>
          </w:rPr>
          <w:t>1</w:t>
        </w:r>
        <w:r>
          <w:fldChar w:fldCharType="end"/>
        </w:r>
      </w:hyperlink>
    </w:p>
    <w:p w:rsidR="00C82363" w:rsidRDefault="00C82363" w:rsidP="00AA1EE7">
      <w:pPr>
        <w:pStyle w:val="TOC2"/>
        <w:tabs>
          <w:tab w:val="right" w:leader="dot" w:pos="8844"/>
        </w:tabs>
        <w:ind w:left="31680"/>
      </w:pPr>
      <w:hyperlink w:anchor="_Toc9431" w:history="1">
        <w:r>
          <w:t>1.1</w:t>
        </w:r>
        <w:r>
          <w:rPr>
            <w:rFonts w:hint="eastAsia"/>
          </w:rPr>
          <w:t>编制目的</w:t>
        </w:r>
        <w:r>
          <w:tab/>
        </w:r>
        <w:r>
          <w:fldChar w:fldCharType="begin"/>
        </w:r>
        <w:r>
          <w:instrText xml:space="preserve"> PAGEREF _Toc9431 \h </w:instrText>
        </w:r>
        <w:r>
          <w:fldChar w:fldCharType="separate"/>
        </w:r>
        <w:r>
          <w:rPr>
            <w:noProof/>
          </w:rPr>
          <w:t>1</w:t>
        </w:r>
        <w:r>
          <w:fldChar w:fldCharType="end"/>
        </w:r>
      </w:hyperlink>
    </w:p>
    <w:p w:rsidR="00C82363" w:rsidRDefault="00C82363" w:rsidP="00AA1EE7">
      <w:pPr>
        <w:pStyle w:val="TOC2"/>
        <w:tabs>
          <w:tab w:val="right" w:leader="dot" w:pos="8844"/>
        </w:tabs>
        <w:ind w:left="31680"/>
      </w:pPr>
      <w:hyperlink w:anchor="_Toc17369" w:history="1">
        <w:r>
          <w:t>1.2</w:t>
        </w:r>
        <w:r>
          <w:rPr>
            <w:rFonts w:hint="eastAsia"/>
          </w:rPr>
          <w:t>编制依据</w:t>
        </w:r>
        <w:r>
          <w:tab/>
        </w:r>
        <w:r>
          <w:fldChar w:fldCharType="begin"/>
        </w:r>
        <w:r>
          <w:instrText xml:space="preserve"> PAGEREF _Toc17369 \h </w:instrText>
        </w:r>
        <w:r>
          <w:fldChar w:fldCharType="separate"/>
        </w:r>
        <w:r>
          <w:rPr>
            <w:noProof/>
          </w:rPr>
          <w:t>1</w:t>
        </w:r>
        <w:r>
          <w:fldChar w:fldCharType="end"/>
        </w:r>
      </w:hyperlink>
    </w:p>
    <w:p w:rsidR="00C82363" w:rsidRDefault="00C82363" w:rsidP="00AA1EE7">
      <w:pPr>
        <w:pStyle w:val="TOC2"/>
        <w:tabs>
          <w:tab w:val="right" w:leader="dot" w:pos="8844"/>
        </w:tabs>
        <w:ind w:left="31680"/>
      </w:pPr>
      <w:hyperlink w:anchor="_Toc13341" w:history="1">
        <w:r>
          <w:t>1.3</w:t>
        </w:r>
        <w:r>
          <w:rPr>
            <w:rFonts w:hint="eastAsia"/>
          </w:rPr>
          <w:t>工作原则</w:t>
        </w:r>
        <w:r>
          <w:tab/>
        </w:r>
        <w:r>
          <w:fldChar w:fldCharType="begin"/>
        </w:r>
        <w:r>
          <w:instrText xml:space="preserve"> PAGEREF _Toc13341 \h </w:instrText>
        </w:r>
        <w:r>
          <w:fldChar w:fldCharType="separate"/>
        </w:r>
        <w:r>
          <w:rPr>
            <w:noProof/>
          </w:rPr>
          <w:t>1</w:t>
        </w:r>
        <w:r>
          <w:fldChar w:fldCharType="end"/>
        </w:r>
      </w:hyperlink>
    </w:p>
    <w:p w:rsidR="00C82363" w:rsidRDefault="00C82363" w:rsidP="00AA1EE7">
      <w:pPr>
        <w:pStyle w:val="TOC2"/>
        <w:tabs>
          <w:tab w:val="right" w:leader="dot" w:pos="8844"/>
        </w:tabs>
        <w:ind w:left="31680"/>
      </w:pPr>
      <w:hyperlink w:anchor="_Toc1703" w:history="1">
        <w:r>
          <w:t>1.4</w:t>
        </w:r>
        <w:r>
          <w:rPr>
            <w:rFonts w:hint="eastAsia"/>
          </w:rPr>
          <w:t>适用范围</w:t>
        </w:r>
        <w:r>
          <w:tab/>
        </w:r>
        <w:r>
          <w:fldChar w:fldCharType="begin"/>
        </w:r>
        <w:r>
          <w:instrText xml:space="preserve"> PAGEREF _Toc1703 \h </w:instrText>
        </w:r>
        <w:r>
          <w:fldChar w:fldCharType="separate"/>
        </w:r>
        <w:r>
          <w:rPr>
            <w:noProof/>
          </w:rPr>
          <w:t>2</w:t>
        </w:r>
        <w:r>
          <w:fldChar w:fldCharType="end"/>
        </w:r>
      </w:hyperlink>
    </w:p>
    <w:p w:rsidR="00C82363" w:rsidRDefault="00C82363" w:rsidP="00AA1EE7">
      <w:pPr>
        <w:pStyle w:val="TOC2"/>
        <w:tabs>
          <w:tab w:val="right" w:leader="dot" w:pos="8844"/>
        </w:tabs>
        <w:ind w:left="31680"/>
      </w:pPr>
      <w:hyperlink w:anchor="_Toc17275" w:history="1">
        <w:r>
          <w:t>1.5</w:t>
        </w:r>
        <w:r>
          <w:rPr>
            <w:rFonts w:hint="eastAsia"/>
          </w:rPr>
          <w:t>事故分级</w:t>
        </w:r>
        <w:r>
          <w:tab/>
        </w:r>
        <w:r>
          <w:fldChar w:fldCharType="begin"/>
        </w:r>
        <w:r>
          <w:instrText xml:space="preserve"> PAGEREF _Toc17275 \h </w:instrText>
        </w:r>
        <w:r>
          <w:fldChar w:fldCharType="separate"/>
        </w:r>
        <w:r>
          <w:rPr>
            <w:noProof/>
          </w:rPr>
          <w:t>2</w:t>
        </w:r>
        <w:r>
          <w:fldChar w:fldCharType="end"/>
        </w:r>
      </w:hyperlink>
    </w:p>
    <w:p w:rsidR="00C82363" w:rsidRDefault="00C82363">
      <w:pPr>
        <w:pStyle w:val="TOC1"/>
        <w:tabs>
          <w:tab w:val="right" w:leader="dot" w:pos="8844"/>
        </w:tabs>
      </w:pPr>
      <w:hyperlink w:anchor="_Toc21594" w:history="1">
        <w:r>
          <w:t>2</w:t>
        </w:r>
        <w:r>
          <w:rPr>
            <w:rFonts w:hint="eastAsia"/>
          </w:rPr>
          <w:t>组织指挥体系</w:t>
        </w:r>
        <w:r>
          <w:tab/>
        </w:r>
        <w:r>
          <w:fldChar w:fldCharType="begin"/>
        </w:r>
        <w:r>
          <w:instrText xml:space="preserve"> PAGEREF _Toc21594 \h </w:instrText>
        </w:r>
        <w:r>
          <w:fldChar w:fldCharType="separate"/>
        </w:r>
        <w:r>
          <w:rPr>
            <w:noProof/>
          </w:rPr>
          <w:t>4</w:t>
        </w:r>
        <w:r>
          <w:fldChar w:fldCharType="end"/>
        </w:r>
      </w:hyperlink>
    </w:p>
    <w:p w:rsidR="00C82363" w:rsidRDefault="00C82363" w:rsidP="00AA1EE7">
      <w:pPr>
        <w:pStyle w:val="TOC2"/>
        <w:tabs>
          <w:tab w:val="right" w:leader="dot" w:pos="8844"/>
        </w:tabs>
        <w:ind w:left="31680"/>
      </w:pPr>
      <w:hyperlink w:anchor="_Toc23962" w:history="1">
        <w:r>
          <w:t>2.1</w:t>
        </w:r>
        <w:r>
          <w:rPr>
            <w:rFonts w:hint="eastAsia"/>
          </w:rPr>
          <w:t>区辐射指挥部</w:t>
        </w:r>
        <w:r>
          <w:tab/>
        </w:r>
        <w:r>
          <w:fldChar w:fldCharType="begin"/>
        </w:r>
        <w:r>
          <w:instrText xml:space="preserve"> PAGEREF _Toc23962 \h </w:instrText>
        </w:r>
        <w:r>
          <w:fldChar w:fldCharType="separate"/>
        </w:r>
        <w:r>
          <w:rPr>
            <w:noProof/>
          </w:rPr>
          <w:t>4</w:t>
        </w:r>
        <w:r>
          <w:fldChar w:fldCharType="end"/>
        </w:r>
      </w:hyperlink>
    </w:p>
    <w:p w:rsidR="00C82363" w:rsidRDefault="00C82363" w:rsidP="00AA1EE7">
      <w:pPr>
        <w:pStyle w:val="TOC2"/>
        <w:tabs>
          <w:tab w:val="right" w:leader="dot" w:pos="8844"/>
        </w:tabs>
        <w:ind w:left="31680"/>
      </w:pPr>
      <w:hyperlink w:anchor="_Toc6259" w:history="1">
        <w:r>
          <w:t>2.2</w:t>
        </w:r>
        <w:r>
          <w:rPr>
            <w:rFonts w:hint="eastAsia"/>
          </w:rPr>
          <w:t>现场指挥部</w:t>
        </w:r>
        <w:r>
          <w:tab/>
        </w:r>
        <w:r>
          <w:fldChar w:fldCharType="begin"/>
        </w:r>
        <w:r>
          <w:instrText xml:space="preserve"> PAGEREF _Toc6259 \h </w:instrText>
        </w:r>
        <w:r>
          <w:fldChar w:fldCharType="separate"/>
        </w:r>
        <w:r>
          <w:rPr>
            <w:noProof/>
          </w:rPr>
          <w:t>5</w:t>
        </w:r>
        <w:r>
          <w:fldChar w:fldCharType="end"/>
        </w:r>
      </w:hyperlink>
    </w:p>
    <w:p w:rsidR="00C82363" w:rsidRDefault="00C82363" w:rsidP="00AA1EE7">
      <w:pPr>
        <w:pStyle w:val="TOC2"/>
        <w:tabs>
          <w:tab w:val="right" w:leader="dot" w:pos="8844"/>
        </w:tabs>
        <w:ind w:left="31680"/>
      </w:pPr>
      <w:hyperlink w:anchor="_Toc1420" w:history="1">
        <w:r>
          <w:t>2.3</w:t>
        </w:r>
        <w:r>
          <w:rPr>
            <w:rFonts w:hint="eastAsia"/>
          </w:rPr>
          <w:t>日常管理机构</w:t>
        </w:r>
        <w:r>
          <w:tab/>
        </w:r>
        <w:r>
          <w:fldChar w:fldCharType="begin"/>
        </w:r>
        <w:r>
          <w:instrText xml:space="preserve"> PAGEREF _Toc1420 \h </w:instrText>
        </w:r>
        <w:r>
          <w:fldChar w:fldCharType="separate"/>
        </w:r>
        <w:r>
          <w:rPr>
            <w:noProof/>
          </w:rPr>
          <w:t>5</w:t>
        </w:r>
        <w:r>
          <w:fldChar w:fldCharType="end"/>
        </w:r>
      </w:hyperlink>
    </w:p>
    <w:p w:rsidR="00C82363" w:rsidRDefault="00C82363">
      <w:pPr>
        <w:pStyle w:val="TOC1"/>
        <w:tabs>
          <w:tab w:val="right" w:leader="dot" w:pos="8844"/>
        </w:tabs>
      </w:pPr>
      <w:hyperlink w:anchor="_Toc16648" w:history="1">
        <w:r>
          <w:t>3</w:t>
        </w:r>
        <w:r>
          <w:rPr>
            <w:rFonts w:hint="eastAsia"/>
          </w:rPr>
          <w:t>预防预警和事故报告</w:t>
        </w:r>
        <w:r>
          <w:tab/>
        </w:r>
        <w:r>
          <w:fldChar w:fldCharType="begin"/>
        </w:r>
        <w:r>
          <w:instrText xml:space="preserve"> PAGEREF _Toc16648 \h </w:instrText>
        </w:r>
        <w:r>
          <w:fldChar w:fldCharType="separate"/>
        </w:r>
        <w:r>
          <w:rPr>
            <w:noProof/>
          </w:rPr>
          <w:t>6</w:t>
        </w:r>
        <w:r>
          <w:fldChar w:fldCharType="end"/>
        </w:r>
      </w:hyperlink>
    </w:p>
    <w:p w:rsidR="00C82363" w:rsidRDefault="00C82363" w:rsidP="00AA1EE7">
      <w:pPr>
        <w:pStyle w:val="TOC2"/>
        <w:tabs>
          <w:tab w:val="right" w:leader="dot" w:pos="8844"/>
        </w:tabs>
        <w:ind w:left="31680"/>
      </w:pPr>
      <w:hyperlink w:anchor="_Toc13103" w:history="1">
        <w:r>
          <w:t>3.1</w:t>
        </w:r>
        <w:r>
          <w:rPr>
            <w:rFonts w:hint="eastAsia"/>
          </w:rPr>
          <w:t>预防</w:t>
        </w:r>
        <w:r>
          <w:tab/>
        </w:r>
        <w:r>
          <w:fldChar w:fldCharType="begin"/>
        </w:r>
        <w:r>
          <w:instrText xml:space="preserve"> PAGEREF _Toc13103 \h </w:instrText>
        </w:r>
        <w:r>
          <w:fldChar w:fldCharType="separate"/>
        </w:r>
        <w:r>
          <w:rPr>
            <w:noProof/>
          </w:rPr>
          <w:t>6</w:t>
        </w:r>
        <w:r>
          <w:fldChar w:fldCharType="end"/>
        </w:r>
      </w:hyperlink>
    </w:p>
    <w:p w:rsidR="00C82363" w:rsidRDefault="00C82363" w:rsidP="00AA1EE7">
      <w:pPr>
        <w:pStyle w:val="TOC2"/>
        <w:tabs>
          <w:tab w:val="right" w:leader="dot" w:pos="8844"/>
        </w:tabs>
        <w:ind w:left="31680"/>
      </w:pPr>
      <w:hyperlink w:anchor="_Toc10260" w:history="1">
        <w:r>
          <w:t>3.2</w:t>
        </w:r>
        <w:r>
          <w:rPr>
            <w:rFonts w:hint="eastAsia"/>
          </w:rPr>
          <w:t>监测</w:t>
        </w:r>
        <w:r>
          <w:tab/>
        </w:r>
        <w:r>
          <w:fldChar w:fldCharType="begin"/>
        </w:r>
        <w:r>
          <w:instrText xml:space="preserve"> PAGEREF _Toc10260 \h </w:instrText>
        </w:r>
        <w:r>
          <w:fldChar w:fldCharType="separate"/>
        </w:r>
        <w:r>
          <w:rPr>
            <w:noProof/>
          </w:rPr>
          <w:t>6</w:t>
        </w:r>
        <w:r>
          <w:fldChar w:fldCharType="end"/>
        </w:r>
      </w:hyperlink>
    </w:p>
    <w:p w:rsidR="00C82363" w:rsidRDefault="00C82363" w:rsidP="00AA1EE7">
      <w:pPr>
        <w:pStyle w:val="TOC2"/>
        <w:tabs>
          <w:tab w:val="right" w:leader="dot" w:pos="8844"/>
        </w:tabs>
        <w:ind w:left="31680"/>
      </w:pPr>
      <w:hyperlink w:anchor="_Toc31685" w:history="1">
        <w:r>
          <w:t>3.3</w:t>
        </w:r>
        <w:r>
          <w:rPr>
            <w:rFonts w:hint="eastAsia"/>
          </w:rPr>
          <w:t>预警</w:t>
        </w:r>
        <w:r>
          <w:tab/>
        </w:r>
        <w:r>
          <w:fldChar w:fldCharType="begin"/>
        </w:r>
        <w:r>
          <w:instrText xml:space="preserve"> PAGEREF _Toc31685 \h </w:instrText>
        </w:r>
        <w:r>
          <w:fldChar w:fldCharType="separate"/>
        </w:r>
        <w:r>
          <w:rPr>
            <w:noProof/>
          </w:rPr>
          <w:t>7</w:t>
        </w:r>
        <w:r>
          <w:fldChar w:fldCharType="end"/>
        </w:r>
      </w:hyperlink>
    </w:p>
    <w:p w:rsidR="00C82363" w:rsidRDefault="00C82363" w:rsidP="00AA1EE7">
      <w:pPr>
        <w:pStyle w:val="TOC2"/>
        <w:tabs>
          <w:tab w:val="right" w:leader="dot" w:pos="8844"/>
        </w:tabs>
        <w:ind w:left="31680"/>
      </w:pPr>
      <w:hyperlink w:anchor="_Toc27712" w:history="1">
        <w:r>
          <w:t>3.4</w:t>
        </w:r>
        <w:r>
          <w:rPr>
            <w:rFonts w:hint="eastAsia"/>
          </w:rPr>
          <w:t>信息报告</w:t>
        </w:r>
        <w:r>
          <w:tab/>
        </w:r>
        <w:r>
          <w:fldChar w:fldCharType="begin"/>
        </w:r>
        <w:r>
          <w:instrText xml:space="preserve"> PAGEREF _Toc27712 \h </w:instrText>
        </w:r>
        <w:r>
          <w:fldChar w:fldCharType="separate"/>
        </w:r>
        <w:r>
          <w:rPr>
            <w:noProof/>
          </w:rPr>
          <w:t>9</w:t>
        </w:r>
        <w:r>
          <w:fldChar w:fldCharType="end"/>
        </w:r>
      </w:hyperlink>
    </w:p>
    <w:p w:rsidR="00C82363" w:rsidRDefault="00C82363">
      <w:pPr>
        <w:pStyle w:val="TOC1"/>
        <w:tabs>
          <w:tab w:val="right" w:leader="dot" w:pos="8844"/>
        </w:tabs>
      </w:pPr>
      <w:hyperlink w:anchor="_Toc4119" w:history="1">
        <w:r>
          <w:t>4</w:t>
        </w:r>
        <w:r>
          <w:rPr>
            <w:rFonts w:hint="eastAsia"/>
          </w:rPr>
          <w:t>应急响应</w:t>
        </w:r>
        <w:r>
          <w:tab/>
        </w:r>
        <w:r>
          <w:fldChar w:fldCharType="begin"/>
        </w:r>
        <w:r>
          <w:instrText xml:space="preserve"> PAGEREF _Toc4119 \h </w:instrText>
        </w:r>
        <w:r>
          <w:fldChar w:fldCharType="separate"/>
        </w:r>
        <w:r>
          <w:rPr>
            <w:noProof/>
          </w:rPr>
          <w:t>10</w:t>
        </w:r>
        <w:r>
          <w:fldChar w:fldCharType="end"/>
        </w:r>
      </w:hyperlink>
    </w:p>
    <w:p w:rsidR="00C82363" w:rsidRDefault="00C82363" w:rsidP="00AA1EE7">
      <w:pPr>
        <w:pStyle w:val="TOC2"/>
        <w:tabs>
          <w:tab w:val="right" w:leader="dot" w:pos="8844"/>
        </w:tabs>
        <w:ind w:left="31680"/>
      </w:pPr>
      <w:hyperlink w:anchor="_Toc23786" w:history="1">
        <w:r>
          <w:t>4.1</w:t>
        </w:r>
        <w:r>
          <w:rPr>
            <w:rFonts w:hint="eastAsia"/>
          </w:rPr>
          <w:t>分级响应</w:t>
        </w:r>
        <w:r>
          <w:tab/>
        </w:r>
        <w:r>
          <w:fldChar w:fldCharType="begin"/>
        </w:r>
        <w:r>
          <w:instrText xml:space="preserve"> PAGEREF _Toc23786 \h </w:instrText>
        </w:r>
        <w:r>
          <w:fldChar w:fldCharType="separate"/>
        </w:r>
        <w:r>
          <w:rPr>
            <w:noProof/>
          </w:rPr>
          <w:t>10</w:t>
        </w:r>
        <w:r>
          <w:fldChar w:fldCharType="end"/>
        </w:r>
      </w:hyperlink>
    </w:p>
    <w:p w:rsidR="00C82363" w:rsidRDefault="00C82363" w:rsidP="00AA1EE7">
      <w:pPr>
        <w:pStyle w:val="TOC2"/>
        <w:tabs>
          <w:tab w:val="right" w:leader="dot" w:pos="8844"/>
        </w:tabs>
        <w:ind w:left="31680"/>
      </w:pPr>
      <w:hyperlink w:anchor="_Toc17627" w:history="1">
        <w:r>
          <w:t>4.2</w:t>
        </w:r>
        <w:r>
          <w:rPr>
            <w:rFonts w:hint="eastAsia"/>
          </w:rPr>
          <w:t>响应措施</w:t>
        </w:r>
        <w:r>
          <w:tab/>
        </w:r>
        <w:r>
          <w:fldChar w:fldCharType="begin"/>
        </w:r>
        <w:r>
          <w:instrText xml:space="preserve"> PAGEREF _Toc17627 \h </w:instrText>
        </w:r>
        <w:r>
          <w:fldChar w:fldCharType="separate"/>
        </w:r>
        <w:r>
          <w:rPr>
            <w:noProof/>
          </w:rPr>
          <w:t>11</w:t>
        </w:r>
        <w:r>
          <w:fldChar w:fldCharType="end"/>
        </w:r>
      </w:hyperlink>
    </w:p>
    <w:p w:rsidR="00C82363" w:rsidRDefault="00C82363" w:rsidP="00AA1EE7">
      <w:pPr>
        <w:pStyle w:val="TOC2"/>
        <w:tabs>
          <w:tab w:val="right" w:leader="dot" w:pos="8844"/>
        </w:tabs>
        <w:ind w:left="31680"/>
      </w:pPr>
      <w:hyperlink w:anchor="_Toc31609" w:history="1">
        <w:r>
          <w:t>4.3</w:t>
        </w:r>
        <w:r>
          <w:rPr>
            <w:rFonts w:hint="eastAsia"/>
          </w:rPr>
          <w:t>响应终止</w:t>
        </w:r>
        <w:r>
          <w:tab/>
        </w:r>
        <w:r>
          <w:fldChar w:fldCharType="begin"/>
        </w:r>
        <w:r>
          <w:instrText xml:space="preserve"> PAGEREF _Toc31609 \h </w:instrText>
        </w:r>
        <w:r>
          <w:fldChar w:fldCharType="separate"/>
        </w:r>
        <w:r>
          <w:rPr>
            <w:noProof/>
          </w:rPr>
          <w:t>13</w:t>
        </w:r>
        <w:r>
          <w:fldChar w:fldCharType="end"/>
        </w:r>
      </w:hyperlink>
    </w:p>
    <w:p w:rsidR="00C82363" w:rsidRDefault="00C82363">
      <w:pPr>
        <w:pStyle w:val="TOC1"/>
        <w:tabs>
          <w:tab w:val="right" w:leader="dot" w:pos="8844"/>
        </w:tabs>
      </w:pPr>
      <w:hyperlink w:anchor="_Toc16190" w:history="1">
        <w:r>
          <w:t>5</w:t>
        </w:r>
        <w:r>
          <w:rPr>
            <w:rFonts w:hint="eastAsia"/>
          </w:rPr>
          <w:t>后期处置</w:t>
        </w:r>
        <w:r>
          <w:tab/>
        </w:r>
        <w:r>
          <w:fldChar w:fldCharType="begin"/>
        </w:r>
        <w:r>
          <w:instrText xml:space="preserve"> PAGEREF _Toc16190 \h </w:instrText>
        </w:r>
        <w:r>
          <w:fldChar w:fldCharType="separate"/>
        </w:r>
        <w:r>
          <w:rPr>
            <w:noProof/>
          </w:rPr>
          <w:t>14</w:t>
        </w:r>
        <w:r>
          <w:fldChar w:fldCharType="end"/>
        </w:r>
      </w:hyperlink>
    </w:p>
    <w:p w:rsidR="00C82363" w:rsidRDefault="00C82363" w:rsidP="00AA1EE7">
      <w:pPr>
        <w:pStyle w:val="TOC2"/>
        <w:tabs>
          <w:tab w:val="right" w:leader="dot" w:pos="8844"/>
        </w:tabs>
        <w:ind w:left="31680"/>
      </w:pPr>
      <w:hyperlink w:anchor="_Toc25664" w:history="1">
        <w:r>
          <w:t>5.1</w:t>
        </w:r>
        <w:r>
          <w:rPr>
            <w:rFonts w:hint="eastAsia"/>
          </w:rPr>
          <w:t>善后处置</w:t>
        </w:r>
        <w:r>
          <w:tab/>
        </w:r>
        <w:r>
          <w:fldChar w:fldCharType="begin"/>
        </w:r>
        <w:r>
          <w:instrText xml:space="preserve"> PAGEREF _Toc25664 \h </w:instrText>
        </w:r>
        <w:r>
          <w:fldChar w:fldCharType="separate"/>
        </w:r>
        <w:r>
          <w:rPr>
            <w:noProof/>
          </w:rPr>
          <w:t>14</w:t>
        </w:r>
        <w:r>
          <w:fldChar w:fldCharType="end"/>
        </w:r>
      </w:hyperlink>
    </w:p>
    <w:p w:rsidR="00C82363" w:rsidRDefault="00C82363" w:rsidP="00AA1EE7">
      <w:pPr>
        <w:pStyle w:val="TOC2"/>
        <w:tabs>
          <w:tab w:val="right" w:leader="dot" w:pos="8844"/>
        </w:tabs>
        <w:ind w:left="31680"/>
      </w:pPr>
      <w:hyperlink w:anchor="_Toc28347" w:history="1">
        <w:r>
          <w:t>5.2</w:t>
        </w:r>
        <w:r>
          <w:rPr>
            <w:rFonts w:hint="eastAsia"/>
          </w:rPr>
          <w:t>事故调查</w:t>
        </w:r>
        <w:r>
          <w:tab/>
        </w:r>
        <w:r>
          <w:fldChar w:fldCharType="begin"/>
        </w:r>
        <w:r>
          <w:instrText xml:space="preserve"> PAGEREF _Toc28347 \h </w:instrText>
        </w:r>
        <w:r>
          <w:fldChar w:fldCharType="separate"/>
        </w:r>
        <w:r>
          <w:rPr>
            <w:noProof/>
          </w:rPr>
          <w:t>14</w:t>
        </w:r>
        <w:r>
          <w:fldChar w:fldCharType="end"/>
        </w:r>
      </w:hyperlink>
    </w:p>
    <w:p w:rsidR="00C82363" w:rsidRDefault="00C82363" w:rsidP="00AA1EE7">
      <w:pPr>
        <w:pStyle w:val="TOC2"/>
        <w:tabs>
          <w:tab w:val="right" w:leader="dot" w:pos="8844"/>
        </w:tabs>
        <w:ind w:left="31680"/>
      </w:pPr>
      <w:hyperlink w:anchor="_Toc17272" w:history="1">
        <w:r>
          <w:t>5.3</w:t>
        </w:r>
        <w:r>
          <w:rPr>
            <w:rFonts w:hint="eastAsia"/>
          </w:rPr>
          <w:t>总结评估</w:t>
        </w:r>
        <w:r>
          <w:tab/>
        </w:r>
        <w:r>
          <w:fldChar w:fldCharType="begin"/>
        </w:r>
        <w:r>
          <w:instrText xml:space="preserve"> PAGEREF _Toc17272 \h </w:instrText>
        </w:r>
        <w:r>
          <w:fldChar w:fldCharType="separate"/>
        </w:r>
        <w:r>
          <w:rPr>
            <w:noProof/>
          </w:rPr>
          <w:t>14</w:t>
        </w:r>
        <w:r>
          <w:fldChar w:fldCharType="end"/>
        </w:r>
      </w:hyperlink>
    </w:p>
    <w:p w:rsidR="00C82363" w:rsidRDefault="00C82363">
      <w:pPr>
        <w:pStyle w:val="TOC1"/>
        <w:tabs>
          <w:tab w:val="right" w:leader="dot" w:pos="8844"/>
        </w:tabs>
      </w:pPr>
      <w:hyperlink w:anchor="_Toc1702" w:history="1">
        <w:r>
          <w:t>6</w:t>
        </w:r>
        <w:r>
          <w:rPr>
            <w:rFonts w:hint="eastAsia"/>
          </w:rPr>
          <w:t>应急保障</w:t>
        </w:r>
        <w:r>
          <w:tab/>
        </w:r>
        <w:r>
          <w:fldChar w:fldCharType="begin"/>
        </w:r>
        <w:r>
          <w:instrText xml:space="preserve"> PAGEREF _Toc1702 \h </w:instrText>
        </w:r>
        <w:r>
          <w:fldChar w:fldCharType="separate"/>
        </w:r>
        <w:r>
          <w:rPr>
            <w:noProof/>
          </w:rPr>
          <w:t>15</w:t>
        </w:r>
        <w:r>
          <w:fldChar w:fldCharType="end"/>
        </w:r>
      </w:hyperlink>
    </w:p>
    <w:p w:rsidR="00C82363" w:rsidRDefault="00C82363" w:rsidP="00AA1EE7">
      <w:pPr>
        <w:pStyle w:val="TOC2"/>
        <w:tabs>
          <w:tab w:val="right" w:leader="dot" w:pos="8844"/>
        </w:tabs>
        <w:ind w:left="31680"/>
      </w:pPr>
      <w:hyperlink w:anchor="_Toc24352" w:history="1">
        <w:r>
          <w:t>6.1</w:t>
        </w:r>
        <w:r>
          <w:rPr>
            <w:rFonts w:hint="eastAsia"/>
          </w:rPr>
          <w:t>队伍保障</w:t>
        </w:r>
        <w:r>
          <w:tab/>
        </w:r>
        <w:r>
          <w:fldChar w:fldCharType="begin"/>
        </w:r>
        <w:r>
          <w:instrText xml:space="preserve"> PAGEREF _Toc24352 \h </w:instrText>
        </w:r>
        <w:r>
          <w:fldChar w:fldCharType="separate"/>
        </w:r>
        <w:r>
          <w:rPr>
            <w:noProof/>
          </w:rPr>
          <w:t>15</w:t>
        </w:r>
        <w:r>
          <w:fldChar w:fldCharType="end"/>
        </w:r>
      </w:hyperlink>
    </w:p>
    <w:p w:rsidR="00C82363" w:rsidRDefault="00C82363" w:rsidP="00AA1EE7">
      <w:pPr>
        <w:pStyle w:val="TOC2"/>
        <w:tabs>
          <w:tab w:val="right" w:leader="dot" w:pos="8844"/>
        </w:tabs>
        <w:ind w:left="31680"/>
      </w:pPr>
      <w:hyperlink w:anchor="_Toc32019" w:history="1">
        <w:r>
          <w:t>6.2</w:t>
        </w:r>
        <w:r>
          <w:rPr>
            <w:rFonts w:hint="eastAsia"/>
          </w:rPr>
          <w:t>物资和装备保障</w:t>
        </w:r>
        <w:r>
          <w:tab/>
        </w:r>
        <w:r>
          <w:fldChar w:fldCharType="begin"/>
        </w:r>
        <w:r>
          <w:instrText xml:space="preserve"> PAGEREF _Toc32019 \h </w:instrText>
        </w:r>
        <w:r>
          <w:fldChar w:fldCharType="separate"/>
        </w:r>
        <w:r>
          <w:rPr>
            <w:noProof/>
          </w:rPr>
          <w:t>15</w:t>
        </w:r>
        <w:r>
          <w:fldChar w:fldCharType="end"/>
        </w:r>
      </w:hyperlink>
    </w:p>
    <w:p w:rsidR="00C82363" w:rsidRDefault="00C82363" w:rsidP="00AA1EE7">
      <w:pPr>
        <w:pStyle w:val="TOC2"/>
        <w:tabs>
          <w:tab w:val="right" w:leader="dot" w:pos="8844"/>
        </w:tabs>
        <w:ind w:left="31680"/>
      </w:pPr>
      <w:hyperlink w:anchor="_Toc17603" w:history="1">
        <w:r>
          <w:t>6.3</w:t>
        </w:r>
        <w:r>
          <w:rPr>
            <w:rFonts w:hint="eastAsia"/>
          </w:rPr>
          <w:t>通信保障</w:t>
        </w:r>
        <w:r>
          <w:tab/>
        </w:r>
        <w:r>
          <w:fldChar w:fldCharType="begin"/>
        </w:r>
        <w:r>
          <w:instrText xml:space="preserve"> PAGEREF _Toc17603 \h </w:instrText>
        </w:r>
        <w:r>
          <w:fldChar w:fldCharType="separate"/>
        </w:r>
        <w:r>
          <w:rPr>
            <w:noProof/>
          </w:rPr>
          <w:t>15</w:t>
        </w:r>
        <w:r>
          <w:fldChar w:fldCharType="end"/>
        </w:r>
      </w:hyperlink>
    </w:p>
    <w:p w:rsidR="00C82363" w:rsidRDefault="00C82363" w:rsidP="00AA1EE7">
      <w:pPr>
        <w:pStyle w:val="TOC2"/>
        <w:tabs>
          <w:tab w:val="right" w:leader="dot" w:pos="8844"/>
        </w:tabs>
        <w:ind w:left="31680"/>
      </w:pPr>
      <w:hyperlink w:anchor="_Toc521" w:history="1">
        <w:r>
          <w:t>6.4</w:t>
        </w:r>
        <w:r>
          <w:rPr>
            <w:rFonts w:hint="eastAsia"/>
          </w:rPr>
          <w:t>交通保障</w:t>
        </w:r>
        <w:r>
          <w:tab/>
        </w:r>
        <w:r>
          <w:fldChar w:fldCharType="begin"/>
        </w:r>
        <w:r>
          <w:instrText xml:space="preserve"> PAGEREF _Toc521 \h </w:instrText>
        </w:r>
        <w:r>
          <w:fldChar w:fldCharType="separate"/>
        </w:r>
        <w:r>
          <w:rPr>
            <w:noProof/>
          </w:rPr>
          <w:t>16</w:t>
        </w:r>
        <w:r>
          <w:fldChar w:fldCharType="end"/>
        </w:r>
      </w:hyperlink>
    </w:p>
    <w:p w:rsidR="00C82363" w:rsidRDefault="00C82363" w:rsidP="00AA1EE7">
      <w:pPr>
        <w:pStyle w:val="TOC2"/>
        <w:tabs>
          <w:tab w:val="right" w:leader="dot" w:pos="8844"/>
        </w:tabs>
        <w:ind w:left="31680"/>
      </w:pPr>
      <w:hyperlink w:anchor="_Toc25195" w:history="1">
        <w:r>
          <w:t>6.5</w:t>
        </w:r>
        <w:r>
          <w:rPr>
            <w:rFonts w:hint="eastAsia"/>
          </w:rPr>
          <w:t>技术保障</w:t>
        </w:r>
        <w:r>
          <w:tab/>
        </w:r>
        <w:r>
          <w:fldChar w:fldCharType="begin"/>
        </w:r>
        <w:r>
          <w:instrText xml:space="preserve"> PAGEREF _Toc25195 \h </w:instrText>
        </w:r>
        <w:r>
          <w:fldChar w:fldCharType="separate"/>
        </w:r>
        <w:r>
          <w:rPr>
            <w:noProof/>
          </w:rPr>
          <w:t>16</w:t>
        </w:r>
        <w:r>
          <w:fldChar w:fldCharType="end"/>
        </w:r>
      </w:hyperlink>
    </w:p>
    <w:p w:rsidR="00C82363" w:rsidRDefault="00C82363" w:rsidP="00AA1EE7">
      <w:pPr>
        <w:pStyle w:val="TOC2"/>
        <w:tabs>
          <w:tab w:val="right" w:leader="dot" w:pos="8844"/>
        </w:tabs>
        <w:ind w:left="31680"/>
      </w:pPr>
      <w:hyperlink w:anchor="_Toc14613" w:history="1">
        <w:r>
          <w:t>6.6</w:t>
        </w:r>
        <w:r>
          <w:rPr>
            <w:rFonts w:hint="eastAsia"/>
          </w:rPr>
          <w:t>资金保障</w:t>
        </w:r>
        <w:r>
          <w:tab/>
        </w:r>
        <w:r>
          <w:fldChar w:fldCharType="begin"/>
        </w:r>
        <w:r>
          <w:instrText xml:space="preserve"> PAGEREF _Toc14613 \h </w:instrText>
        </w:r>
        <w:r>
          <w:fldChar w:fldCharType="separate"/>
        </w:r>
        <w:r>
          <w:rPr>
            <w:noProof/>
          </w:rPr>
          <w:t>16</w:t>
        </w:r>
        <w:r>
          <w:fldChar w:fldCharType="end"/>
        </w:r>
      </w:hyperlink>
    </w:p>
    <w:p w:rsidR="00C82363" w:rsidRDefault="00C82363">
      <w:pPr>
        <w:pStyle w:val="TOC1"/>
        <w:tabs>
          <w:tab w:val="right" w:leader="dot" w:pos="8844"/>
        </w:tabs>
      </w:pPr>
      <w:hyperlink w:anchor="_Toc19543" w:history="1">
        <w:r>
          <w:t>7</w:t>
        </w:r>
        <w:r>
          <w:rPr>
            <w:rFonts w:hint="eastAsia"/>
          </w:rPr>
          <w:t>宣传、培训和演习</w:t>
        </w:r>
        <w:r>
          <w:tab/>
        </w:r>
        <w:r>
          <w:fldChar w:fldCharType="begin"/>
        </w:r>
        <w:r>
          <w:instrText xml:space="preserve"> PAGEREF _Toc19543 \h </w:instrText>
        </w:r>
        <w:r>
          <w:fldChar w:fldCharType="separate"/>
        </w:r>
        <w:r>
          <w:rPr>
            <w:noProof/>
          </w:rPr>
          <w:t>16</w:t>
        </w:r>
        <w:r>
          <w:fldChar w:fldCharType="end"/>
        </w:r>
      </w:hyperlink>
    </w:p>
    <w:p w:rsidR="00C82363" w:rsidRDefault="00C82363" w:rsidP="00AA1EE7">
      <w:pPr>
        <w:pStyle w:val="TOC2"/>
        <w:tabs>
          <w:tab w:val="right" w:leader="dot" w:pos="8844"/>
        </w:tabs>
        <w:ind w:left="31680"/>
      </w:pPr>
      <w:hyperlink w:anchor="_Toc4288" w:history="1">
        <w:r>
          <w:t>7.1</w:t>
        </w:r>
        <w:r>
          <w:rPr>
            <w:rFonts w:hint="eastAsia"/>
          </w:rPr>
          <w:t>宣传和培训</w:t>
        </w:r>
        <w:r>
          <w:tab/>
        </w:r>
        <w:r>
          <w:fldChar w:fldCharType="begin"/>
        </w:r>
        <w:r>
          <w:instrText xml:space="preserve"> PAGEREF _Toc4288 \h </w:instrText>
        </w:r>
        <w:r>
          <w:fldChar w:fldCharType="separate"/>
        </w:r>
        <w:r>
          <w:rPr>
            <w:noProof/>
          </w:rPr>
          <w:t>16</w:t>
        </w:r>
        <w:r>
          <w:fldChar w:fldCharType="end"/>
        </w:r>
      </w:hyperlink>
    </w:p>
    <w:p w:rsidR="00C82363" w:rsidRDefault="00C82363" w:rsidP="00AA1EE7">
      <w:pPr>
        <w:pStyle w:val="TOC2"/>
        <w:tabs>
          <w:tab w:val="right" w:leader="dot" w:pos="8844"/>
        </w:tabs>
        <w:ind w:left="31680"/>
      </w:pPr>
      <w:hyperlink w:anchor="_Toc15657" w:history="1">
        <w:r>
          <w:t>7.2</w:t>
        </w:r>
        <w:r>
          <w:rPr>
            <w:rFonts w:hint="eastAsia"/>
          </w:rPr>
          <w:t>培训和演习</w:t>
        </w:r>
        <w:r>
          <w:tab/>
        </w:r>
        <w:r>
          <w:fldChar w:fldCharType="begin"/>
        </w:r>
        <w:r>
          <w:instrText xml:space="preserve"> PAGEREF _Toc15657 \h </w:instrText>
        </w:r>
        <w:r>
          <w:fldChar w:fldCharType="separate"/>
        </w:r>
        <w:r>
          <w:rPr>
            <w:noProof/>
          </w:rPr>
          <w:t>16</w:t>
        </w:r>
        <w:r>
          <w:fldChar w:fldCharType="end"/>
        </w:r>
      </w:hyperlink>
    </w:p>
    <w:p w:rsidR="00C82363" w:rsidRDefault="00C82363">
      <w:pPr>
        <w:pStyle w:val="TOC1"/>
        <w:tabs>
          <w:tab w:val="right" w:leader="dot" w:pos="8844"/>
        </w:tabs>
      </w:pPr>
      <w:hyperlink w:anchor="_Toc11896" w:history="1">
        <w:r>
          <w:t>8</w:t>
        </w:r>
        <w:r>
          <w:rPr>
            <w:rFonts w:hint="eastAsia"/>
          </w:rPr>
          <w:t>附则</w:t>
        </w:r>
        <w:r>
          <w:tab/>
        </w:r>
        <w:r>
          <w:fldChar w:fldCharType="begin"/>
        </w:r>
        <w:r>
          <w:instrText xml:space="preserve"> PAGEREF _Toc11896 \h </w:instrText>
        </w:r>
        <w:r>
          <w:fldChar w:fldCharType="separate"/>
        </w:r>
        <w:r>
          <w:rPr>
            <w:noProof/>
          </w:rPr>
          <w:t>17</w:t>
        </w:r>
        <w:r>
          <w:fldChar w:fldCharType="end"/>
        </w:r>
      </w:hyperlink>
    </w:p>
    <w:p w:rsidR="00C82363" w:rsidRDefault="00C82363" w:rsidP="00AA1EE7">
      <w:pPr>
        <w:pStyle w:val="TOC2"/>
        <w:tabs>
          <w:tab w:val="right" w:leader="dot" w:pos="8844"/>
        </w:tabs>
        <w:ind w:left="31680"/>
      </w:pPr>
      <w:hyperlink w:anchor="_Toc3229" w:history="1">
        <w:r>
          <w:t>8.1</w:t>
        </w:r>
        <w:r>
          <w:rPr>
            <w:rFonts w:hint="eastAsia"/>
          </w:rPr>
          <w:t>名词术语解释</w:t>
        </w:r>
        <w:r>
          <w:tab/>
        </w:r>
        <w:r>
          <w:fldChar w:fldCharType="begin"/>
        </w:r>
        <w:r>
          <w:instrText xml:space="preserve"> PAGEREF _Toc3229 \h </w:instrText>
        </w:r>
        <w:r>
          <w:fldChar w:fldCharType="separate"/>
        </w:r>
        <w:r>
          <w:rPr>
            <w:noProof/>
          </w:rPr>
          <w:t>17</w:t>
        </w:r>
        <w:r>
          <w:fldChar w:fldCharType="end"/>
        </w:r>
      </w:hyperlink>
    </w:p>
    <w:p w:rsidR="00C82363" w:rsidRDefault="00C82363" w:rsidP="00AA1EE7">
      <w:pPr>
        <w:pStyle w:val="TOC2"/>
        <w:tabs>
          <w:tab w:val="right" w:leader="dot" w:pos="8844"/>
        </w:tabs>
        <w:ind w:left="31680"/>
      </w:pPr>
      <w:hyperlink w:anchor="_Toc23267" w:history="1">
        <w:r>
          <w:t>8.2</w:t>
        </w:r>
        <w:r>
          <w:rPr>
            <w:rFonts w:hint="eastAsia"/>
          </w:rPr>
          <w:t>预案管理</w:t>
        </w:r>
        <w:r>
          <w:tab/>
        </w:r>
        <w:r>
          <w:fldChar w:fldCharType="begin"/>
        </w:r>
        <w:r>
          <w:instrText xml:space="preserve"> PAGEREF _Toc23267 \h </w:instrText>
        </w:r>
        <w:r>
          <w:fldChar w:fldCharType="separate"/>
        </w:r>
        <w:r>
          <w:rPr>
            <w:noProof/>
          </w:rPr>
          <w:t>18</w:t>
        </w:r>
        <w:r>
          <w:fldChar w:fldCharType="end"/>
        </w:r>
      </w:hyperlink>
    </w:p>
    <w:p w:rsidR="00C82363" w:rsidRDefault="00C82363" w:rsidP="00AA1EE7">
      <w:pPr>
        <w:pStyle w:val="TOC2"/>
        <w:tabs>
          <w:tab w:val="right" w:leader="dot" w:pos="8844"/>
        </w:tabs>
        <w:ind w:left="31680"/>
      </w:pPr>
      <w:hyperlink w:anchor="_Toc31005" w:history="1">
        <w:r>
          <w:t>8.3</w:t>
        </w:r>
        <w:r>
          <w:rPr>
            <w:rFonts w:hint="eastAsia"/>
          </w:rPr>
          <w:t>预案解释</w:t>
        </w:r>
        <w:r>
          <w:tab/>
        </w:r>
        <w:r>
          <w:fldChar w:fldCharType="begin"/>
        </w:r>
        <w:r>
          <w:instrText xml:space="preserve"> PAGEREF _Toc31005 \h </w:instrText>
        </w:r>
        <w:r>
          <w:fldChar w:fldCharType="separate"/>
        </w:r>
        <w:r>
          <w:rPr>
            <w:noProof/>
          </w:rPr>
          <w:t>19</w:t>
        </w:r>
        <w:r>
          <w:fldChar w:fldCharType="end"/>
        </w:r>
      </w:hyperlink>
    </w:p>
    <w:p w:rsidR="00C82363" w:rsidRDefault="00C82363" w:rsidP="00AA1EE7">
      <w:pPr>
        <w:pStyle w:val="TOC2"/>
        <w:tabs>
          <w:tab w:val="right" w:leader="dot" w:pos="8844"/>
        </w:tabs>
        <w:ind w:left="31680"/>
      </w:pPr>
      <w:hyperlink w:anchor="_Toc31167" w:history="1">
        <w:r>
          <w:t>8.4</w:t>
        </w:r>
        <w:r>
          <w:rPr>
            <w:rFonts w:hint="eastAsia"/>
          </w:rPr>
          <w:t>预案实施</w:t>
        </w:r>
        <w:r>
          <w:tab/>
        </w:r>
        <w:r>
          <w:fldChar w:fldCharType="begin"/>
        </w:r>
        <w:r>
          <w:instrText xml:space="preserve"> PAGEREF _Toc31167 \h </w:instrText>
        </w:r>
        <w:r>
          <w:fldChar w:fldCharType="separate"/>
        </w:r>
        <w:r>
          <w:rPr>
            <w:noProof/>
          </w:rPr>
          <w:t>19</w:t>
        </w:r>
        <w:r>
          <w:fldChar w:fldCharType="end"/>
        </w:r>
      </w:hyperlink>
    </w:p>
    <w:p w:rsidR="00C82363" w:rsidRDefault="00C82363">
      <w:pPr>
        <w:pStyle w:val="TOC1"/>
        <w:tabs>
          <w:tab w:val="right" w:leader="dot" w:pos="8844"/>
        </w:tabs>
      </w:pPr>
      <w:hyperlink w:anchor="_Toc17051" w:history="1">
        <w:r>
          <w:t>9</w:t>
        </w:r>
        <w:r>
          <w:rPr>
            <w:rFonts w:hint="eastAsia"/>
          </w:rPr>
          <w:t>附件</w:t>
        </w:r>
        <w:r>
          <w:tab/>
        </w:r>
        <w:r>
          <w:fldChar w:fldCharType="begin"/>
        </w:r>
        <w:r>
          <w:instrText xml:space="preserve"> PAGEREF _Toc17051 \h </w:instrText>
        </w:r>
        <w:r>
          <w:fldChar w:fldCharType="separate"/>
        </w:r>
        <w:r>
          <w:rPr>
            <w:noProof/>
          </w:rPr>
          <w:t>19</w:t>
        </w:r>
        <w:r>
          <w:fldChar w:fldCharType="end"/>
        </w:r>
      </w:hyperlink>
    </w:p>
    <w:p w:rsidR="00C82363" w:rsidRDefault="00C82363" w:rsidP="00AA1EE7">
      <w:pPr>
        <w:pStyle w:val="bd243d13-394e-4bd9-99c9-3a29947aa2a1"/>
        <w:ind w:leftChars="0" w:firstLine="31680"/>
        <w:sectPr w:rsidR="00C82363">
          <w:pgSz w:w="11906" w:h="16838"/>
          <w:pgMar w:top="2098" w:right="1474" w:bottom="1984" w:left="1588" w:header="851" w:footer="1417" w:gutter="0"/>
          <w:cols w:space="0"/>
          <w:docGrid w:type="linesAndChars" w:linePitch="579" w:charSpace="-849"/>
        </w:sectPr>
      </w:pPr>
      <w:r>
        <w:fldChar w:fldCharType="end"/>
      </w:r>
    </w:p>
    <w:p w:rsidR="00C82363" w:rsidRDefault="00C82363" w:rsidP="00AA1EE7">
      <w:pPr>
        <w:pStyle w:val="72c23eac-05e5-485a-9b67-1c7dbe1944ac"/>
        <w:numPr>
          <w:ilvl w:val="0"/>
          <w:numId w:val="0"/>
        </w:numPr>
        <w:ind w:firstLineChars="200" w:firstLine="31680"/>
      </w:pPr>
      <w:bookmarkStart w:id="1" w:name="_Toc425"/>
      <w:r>
        <w:t>1</w:t>
      </w:r>
      <w:r>
        <w:rPr>
          <w:rFonts w:hint="eastAsia"/>
        </w:rPr>
        <w:t>总则</w:t>
      </w:r>
      <w:bookmarkEnd w:id="1"/>
    </w:p>
    <w:p w:rsidR="00C82363" w:rsidRDefault="00C82363" w:rsidP="00AA1EE7">
      <w:pPr>
        <w:pStyle w:val="433e907c-22c4-47aa-a0e2-5f03f9a2dc40"/>
        <w:numPr>
          <w:ilvl w:val="0"/>
          <w:numId w:val="0"/>
        </w:numPr>
        <w:ind w:firstLineChars="200" w:firstLine="31680"/>
      </w:pPr>
      <w:bookmarkStart w:id="2" w:name="_Toc9431"/>
      <w:r>
        <w:t>1.1</w:t>
      </w:r>
      <w:r>
        <w:rPr>
          <w:rFonts w:hint="eastAsia"/>
        </w:rPr>
        <w:t>编制目的</w:t>
      </w:r>
      <w:bookmarkEnd w:id="2"/>
    </w:p>
    <w:p w:rsidR="00C82363" w:rsidRDefault="00C82363" w:rsidP="00AA1EE7">
      <w:pPr>
        <w:pStyle w:val="bd243d13-394e-4bd9-99c9-3a29947aa2a1"/>
        <w:ind w:leftChars="0" w:firstLine="31680"/>
      </w:pPr>
      <w:r>
        <w:rPr>
          <w:rFonts w:hint="eastAsia"/>
        </w:rPr>
        <w:t>科学有序高效应对辐射事故，最大程度控制、减轻或消除辐射事故造成的影响，保障人民群众生命财产安全和生态环境安全。</w:t>
      </w:r>
    </w:p>
    <w:p w:rsidR="00C82363" w:rsidRDefault="00C82363" w:rsidP="00AA1EE7">
      <w:pPr>
        <w:pStyle w:val="433e907c-22c4-47aa-a0e2-5f03f9a2dc40"/>
        <w:numPr>
          <w:ilvl w:val="0"/>
          <w:numId w:val="0"/>
        </w:numPr>
        <w:ind w:firstLineChars="200" w:firstLine="31680"/>
      </w:pPr>
      <w:bookmarkStart w:id="3" w:name="_Toc17369"/>
      <w:r>
        <w:t>1.2</w:t>
      </w:r>
      <w:r>
        <w:rPr>
          <w:rFonts w:hint="eastAsia"/>
        </w:rPr>
        <w:t>编制依据</w:t>
      </w:r>
      <w:bookmarkEnd w:id="3"/>
    </w:p>
    <w:p w:rsidR="00C82363" w:rsidRDefault="00C82363" w:rsidP="00AA1EE7">
      <w:pPr>
        <w:pStyle w:val="bd243d13-394e-4bd9-99c9-3a29947aa2a1"/>
        <w:ind w:leftChars="0" w:firstLine="31680"/>
      </w:pPr>
      <w:r>
        <w:rPr>
          <w:rFonts w:hint="eastAsia"/>
        </w:rPr>
        <w:t>依据《中华人民共和国环境保护法》《中华人民共和国突发事件应对法》《中华人民共和国放射性污染防治法》《中华人民共和国核安全法》《放射性同位素与射线装置安全和防护条例》《放射性物品运输安全管理条例》《放射性废物安全管理条例》《放射性同位素与射线装置安全和防护管理办法》《突发事件应急预案管理办法》《突发环境事件应急预案管理暂行办法》《放射性物品道路运输管理规定》《国家突发事件总体应急预案》《国家突发环境事件应急预案》《生态环境部（国家核安全局）辐射事故应急预案》《电离辐射防护与辐射源安全基本标准》《重庆市环境保护条例》《重庆市突发事件应对条例》《重庆市突发事件应急预案管理实施办法》《重庆市辐射污染防治办法》《重庆市突发公共事件总体应急预案》《重庆市突发环境事件应急预案》《重庆市辐射事故应急预案》《重庆市渝北区突发环境事件应急预案》《重庆市生态环境局辐射事故应急预案》等相关法律法规及有关规定，制定本预案。</w:t>
      </w:r>
    </w:p>
    <w:p w:rsidR="00C82363" w:rsidRDefault="00C82363" w:rsidP="00AA1EE7">
      <w:pPr>
        <w:pStyle w:val="433e907c-22c4-47aa-a0e2-5f03f9a2dc40"/>
        <w:numPr>
          <w:ilvl w:val="0"/>
          <w:numId w:val="0"/>
        </w:numPr>
        <w:ind w:firstLineChars="200" w:firstLine="31680"/>
      </w:pPr>
      <w:bookmarkStart w:id="4" w:name="_Toc13341"/>
      <w:r>
        <w:t>1.3</w:t>
      </w:r>
      <w:r>
        <w:rPr>
          <w:rFonts w:hint="eastAsia"/>
        </w:rPr>
        <w:t>工作原则</w:t>
      </w:r>
      <w:bookmarkEnd w:id="4"/>
    </w:p>
    <w:p w:rsidR="00C82363" w:rsidRDefault="00C82363" w:rsidP="00AA1EE7">
      <w:pPr>
        <w:pStyle w:val="bd243d13-394e-4bd9-99c9-3a29947aa2a1"/>
        <w:ind w:leftChars="0" w:firstLine="31680"/>
      </w:pPr>
      <w:r>
        <w:rPr>
          <w:rFonts w:hint="eastAsia"/>
        </w:rPr>
        <w:t>本预案坚持“以人为本、预防为主，统一领导、分级响应，属地为主、协调联动，高效预警、快速反应，统筹资源、科学处置”的工作原则。</w:t>
      </w:r>
    </w:p>
    <w:p w:rsidR="00C82363" w:rsidRDefault="00C82363" w:rsidP="00AA1EE7">
      <w:pPr>
        <w:pStyle w:val="433e907c-22c4-47aa-a0e2-5f03f9a2dc40"/>
        <w:numPr>
          <w:ilvl w:val="0"/>
          <w:numId w:val="0"/>
        </w:numPr>
        <w:ind w:firstLineChars="200" w:firstLine="31680"/>
      </w:pPr>
      <w:bookmarkStart w:id="5" w:name="_Toc1703"/>
      <w:r>
        <w:t>1.4</w:t>
      </w:r>
      <w:r>
        <w:rPr>
          <w:rFonts w:hint="eastAsia"/>
        </w:rPr>
        <w:t>适用范围</w:t>
      </w:r>
      <w:bookmarkEnd w:id="5"/>
    </w:p>
    <w:p w:rsidR="00C82363" w:rsidRDefault="00C82363" w:rsidP="00AA1EE7">
      <w:pPr>
        <w:pStyle w:val="bd243d13-394e-4bd9-99c9-3a29947aa2a1"/>
        <w:ind w:leftChars="0" w:firstLine="31680"/>
      </w:pPr>
      <w:r>
        <w:rPr>
          <w:rFonts w:hint="eastAsia"/>
        </w:rPr>
        <w:t>本预案适用于在渝北行政区内发生辐射事故的应对工作，以及渝北区外发生辐射事故可能影响我区的应急响应。</w:t>
      </w:r>
    </w:p>
    <w:p w:rsidR="00C82363" w:rsidRDefault="00C82363" w:rsidP="00AA1EE7">
      <w:pPr>
        <w:pStyle w:val="433e907c-22c4-47aa-a0e2-5f03f9a2dc40"/>
        <w:numPr>
          <w:ilvl w:val="0"/>
          <w:numId w:val="0"/>
        </w:numPr>
        <w:ind w:firstLineChars="200" w:firstLine="31680"/>
      </w:pPr>
      <w:bookmarkStart w:id="6" w:name="_Toc17275"/>
      <w:r>
        <w:t>1.5</w:t>
      </w:r>
      <w:r>
        <w:rPr>
          <w:rFonts w:hint="eastAsia"/>
        </w:rPr>
        <w:t>事故分级</w:t>
      </w:r>
      <w:bookmarkEnd w:id="6"/>
    </w:p>
    <w:p w:rsidR="00C82363" w:rsidRDefault="00C82363" w:rsidP="00AA1EE7">
      <w:pPr>
        <w:pStyle w:val="bd243d13-394e-4bd9-99c9-3a29947aa2a1"/>
        <w:ind w:leftChars="0" w:firstLine="31680"/>
      </w:pPr>
      <w:r>
        <w:rPr>
          <w:rFonts w:hint="eastAsia"/>
        </w:rPr>
        <w:t>根据辐射事故性质、严重程度、可控性和影响范围等因素，从重到轻将辐射事故分为特别重大辐射事故、重大辐射事故、较大辐射事故和一般辐射事故四个等级。</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1.5.1</w:t>
        </w:r>
      </w:smartTag>
      <w:r>
        <w:rPr>
          <w:rFonts w:hint="eastAsia"/>
        </w:rPr>
        <w:t>特别重大辐射事故</w:t>
      </w:r>
    </w:p>
    <w:p w:rsidR="00C82363" w:rsidRDefault="00C82363" w:rsidP="00AA1EE7">
      <w:pPr>
        <w:pStyle w:val="bd243d13-394e-4bd9-99c9-3a29947aa2a1"/>
        <w:ind w:leftChars="0" w:firstLine="31680"/>
      </w:pPr>
      <w:r>
        <w:rPr>
          <w:rFonts w:hint="eastAsia"/>
        </w:rPr>
        <w:t>凡符合下列情形之一的，为特别重大辐射事故：</w:t>
      </w:r>
    </w:p>
    <w:p w:rsidR="00C82363" w:rsidRDefault="00C82363" w:rsidP="00AA1EE7">
      <w:pPr>
        <w:pStyle w:val="bd243d13-394e-4bd9-99c9-3a29947aa2a1"/>
        <w:ind w:leftChars="0" w:firstLine="31680"/>
      </w:pPr>
      <w:r>
        <w:t>(1)I</w:t>
      </w:r>
      <w:r>
        <w:rPr>
          <w:rFonts w:hint="eastAsia"/>
        </w:rPr>
        <w:t>、Ⅱ类放射源丢失、被盗、失控造成大范围严重辐射污染后果；</w:t>
      </w:r>
    </w:p>
    <w:p w:rsidR="00C82363" w:rsidRDefault="00C82363" w:rsidP="00AA1EE7">
      <w:pPr>
        <w:pStyle w:val="bd243d13-394e-4bd9-99c9-3a29947aa2a1"/>
        <w:ind w:leftChars="0" w:firstLine="31680"/>
      </w:pPr>
      <w:r>
        <w:t>(2)</w:t>
      </w:r>
      <w:r>
        <w:rPr>
          <w:rFonts w:hint="eastAsia"/>
        </w:rPr>
        <w:t>放射性同位素和射线装置失控导致</w:t>
      </w:r>
      <w:r>
        <w:t>3</w:t>
      </w:r>
      <w:r>
        <w:rPr>
          <w:rFonts w:hint="eastAsia"/>
        </w:rPr>
        <w:t>人以上</w:t>
      </w:r>
      <w:r>
        <w:t>(</w:t>
      </w:r>
      <w:r>
        <w:rPr>
          <w:rFonts w:hint="eastAsia"/>
        </w:rPr>
        <w:t>含</w:t>
      </w:r>
      <w:r>
        <w:t>3</w:t>
      </w:r>
      <w:r>
        <w:rPr>
          <w:rFonts w:hint="eastAsia"/>
        </w:rPr>
        <w:t>人</w:t>
      </w:r>
      <w:r>
        <w:t>)</w:t>
      </w:r>
      <w:r>
        <w:rPr>
          <w:rFonts w:hint="eastAsia"/>
        </w:rPr>
        <w:t>急性死亡；</w:t>
      </w:r>
    </w:p>
    <w:p w:rsidR="00C82363" w:rsidRDefault="00C82363" w:rsidP="00AA1EE7">
      <w:pPr>
        <w:pStyle w:val="bd243d13-394e-4bd9-99c9-3a29947aa2a1"/>
        <w:ind w:leftChars="0" w:firstLine="31680"/>
      </w:pPr>
      <w:r>
        <w:t>(3)</w:t>
      </w:r>
      <w:r>
        <w:rPr>
          <w:rFonts w:hint="eastAsia"/>
        </w:rPr>
        <w:t>放射性物质泄漏，造成大范围严重辐射污染后果；</w:t>
      </w:r>
    </w:p>
    <w:p w:rsidR="00C82363" w:rsidRDefault="00C82363" w:rsidP="00AA1EE7">
      <w:pPr>
        <w:pStyle w:val="bd243d13-394e-4bd9-99c9-3a29947aa2a1"/>
        <w:ind w:leftChars="0" w:firstLine="31680"/>
      </w:pPr>
      <w:r>
        <w:t>(4)</w:t>
      </w:r>
      <w:r>
        <w:rPr>
          <w:rFonts w:hint="eastAsia"/>
        </w:rPr>
        <w:t>对我区辖区内可能或已经造成较大范围辐射环境影响的航天器坠落事故或境外发生的核与辐射事故。</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1.5.2</w:t>
        </w:r>
      </w:smartTag>
      <w:r>
        <w:rPr>
          <w:rFonts w:hint="eastAsia"/>
        </w:rPr>
        <w:t>重大辐射事故</w:t>
      </w:r>
    </w:p>
    <w:p w:rsidR="00C82363" w:rsidRDefault="00C82363" w:rsidP="00AA1EE7">
      <w:pPr>
        <w:pStyle w:val="bd243d13-394e-4bd9-99c9-3a29947aa2a1"/>
        <w:ind w:leftChars="0" w:firstLine="31680"/>
      </w:pPr>
      <w:r>
        <w:rPr>
          <w:rFonts w:hint="eastAsia"/>
        </w:rPr>
        <w:t>凡符合下列情形之一的，为重大辐射事故：</w:t>
      </w:r>
    </w:p>
    <w:p w:rsidR="00C82363" w:rsidRDefault="00C82363" w:rsidP="00AA1EE7">
      <w:pPr>
        <w:pStyle w:val="bd243d13-394e-4bd9-99c9-3a29947aa2a1"/>
        <w:ind w:leftChars="0" w:firstLine="31680"/>
      </w:pPr>
      <w:r>
        <w:t>(1)I</w:t>
      </w:r>
      <w:r>
        <w:rPr>
          <w:rFonts w:hint="eastAsia"/>
        </w:rPr>
        <w:t>、Ⅱ类放射源丢失、被盗、失控；</w:t>
      </w:r>
    </w:p>
    <w:p w:rsidR="00C82363" w:rsidRDefault="00C82363" w:rsidP="00AA1EE7">
      <w:pPr>
        <w:pStyle w:val="bd243d13-394e-4bd9-99c9-3a29947aa2a1"/>
        <w:ind w:leftChars="0" w:firstLine="31680"/>
      </w:pPr>
      <w:r>
        <w:t>(2)</w:t>
      </w:r>
      <w:r>
        <w:rPr>
          <w:rFonts w:hint="eastAsia"/>
        </w:rPr>
        <w:t>放射性同位素和射线装置失控导致</w:t>
      </w:r>
      <w:r>
        <w:t>2</w:t>
      </w:r>
      <w:r>
        <w:rPr>
          <w:rFonts w:hint="eastAsia"/>
        </w:rPr>
        <w:t>人以下</w:t>
      </w:r>
      <w:r>
        <w:t>(</w:t>
      </w:r>
      <w:r>
        <w:rPr>
          <w:rFonts w:hint="eastAsia"/>
        </w:rPr>
        <w:t>含</w:t>
      </w:r>
      <w:r>
        <w:t>2</w:t>
      </w:r>
      <w:r>
        <w:rPr>
          <w:rFonts w:hint="eastAsia"/>
        </w:rPr>
        <w:t>人</w:t>
      </w:r>
      <w:r>
        <w:t>)</w:t>
      </w:r>
      <w:r>
        <w:rPr>
          <w:rFonts w:hint="eastAsia"/>
        </w:rPr>
        <w:t>急性死亡或者</w:t>
      </w:r>
      <w:r>
        <w:t>10</w:t>
      </w:r>
      <w:r>
        <w:rPr>
          <w:rFonts w:hint="eastAsia"/>
        </w:rPr>
        <w:t>人以上</w:t>
      </w:r>
      <w:r>
        <w:t>(</w:t>
      </w:r>
      <w:r>
        <w:rPr>
          <w:rFonts w:hint="eastAsia"/>
        </w:rPr>
        <w:t>含</w:t>
      </w:r>
      <w:r>
        <w:t>10</w:t>
      </w:r>
      <w:r>
        <w:rPr>
          <w:rFonts w:hint="eastAsia"/>
        </w:rPr>
        <w:t>人</w:t>
      </w:r>
      <w:r>
        <w:t>)</w:t>
      </w:r>
      <w:r>
        <w:rPr>
          <w:rFonts w:hint="eastAsia"/>
        </w:rPr>
        <w:t>急性重度放射病、局部器官残疾；</w:t>
      </w:r>
    </w:p>
    <w:p w:rsidR="00C82363" w:rsidRDefault="00C82363" w:rsidP="00AA1EE7">
      <w:pPr>
        <w:pStyle w:val="bd243d13-394e-4bd9-99c9-3a29947aa2a1"/>
        <w:ind w:leftChars="0" w:firstLine="31680"/>
      </w:pPr>
      <w:r>
        <w:t>(3)</w:t>
      </w:r>
      <w:r>
        <w:rPr>
          <w:rFonts w:hint="eastAsia"/>
        </w:rPr>
        <w:t>放射性物质泄漏，造成较大范围辐射污染后果。</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1.5.3</w:t>
        </w:r>
      </w:smartTag>
      <w:r>
        <w:rPr>
          <w:rFonts w:hint="eastAsia"/>
        </w:rPr>
        <w:t>较大辐射事故</w:t>
      </w:r>
    </w:p>
    <w:p w:rsidR="00C82363" w:rsidRDefault="00C82363" w:rsidP="00AA1EE7">
      <w:pPr>
        <w:pStyle w:val="bd243d13-394e-4bd9-99c9-3a29947aa2a1"/>
        <w:ind w:leftChars="0" w:firstLine="31680"/>
      </w:pPr>
      <w:r>
        <w:rPr>
          <w:rFonts w:hint="eastAsia"/>
        </w:rPr>
        <w:t>凡符合下列情形之一的，为较大辐射事故：</w:t>
      </w:r>
    </w:p>
    <w:p w:rsidR="00C82363" w:rsidRDefault="00C82363" w:rsidP="00AA1EE7">
      <w:pPr>
        <w:pStyle w:val="bd243d13-394e-4bd9-99c9-3a29947aa2a1"/>
        <w:ind w:leftChars="0" w:firstLine="31680"/>
      </w:pPr>
      <w:r>
        <w:t>(1)</w:t>
      </w:r>
      <w:r>
        <w:rPr>
          <w:rFonts w:hint="eastAsia"/>
        </w:rPr>
        <w:t>Ⅲ类放射源丢失、被盗、失控；</w:t>
      </w:r>
    </w:p>
    <w:p w:rsidR="00C82363" w:rsidRDefault="00C82363" w:rsidP="00AA1EE7">
      <w:pPr>
        <w:pStyle w:val="bd243d13-394e-4bd9-99c9-3a29947aa2a1"/>
        <w:ind w:leftChars="0" w:firstLine="31680"/>
      </w:pPr>
      <w:r>
        <w:t>(2)</w:t>
      </w:r>
      <w:r>
        <w:rPr>
          <w:rFonts w:hint="eastAsia"/>
        </w:rPr>
        <w:t>放射性同位素和射线装置失控导致</w:t>
      </w:r>
      <w:r>
        <w:t>9</w:t>
      </w:r>
      <w:r>
        <w:rPr>
          <w:rFonts w:hint="eastAsia"/>
        </w:rPr>
        <w:t>人以下</w:t>
      </w:r>
      <w:r>
        <w:t>(</w:t>
      </w:r>
      <w:r>
        <w:rPr>
          <w:rFonts w:hint="eastAsia"/>
        </w:rPr>
        <w:t>含</w:t>
      </w:r>
      <w:r>
        <w:t>9</w:t>
      </w:r>
      <w:r>
        <w:rPr>
          <w:rFonts w:hint="eastAsia"/>
        </w:rPr>
        <w:t>人</w:t>
      </w:r>
      <w:r>
        <w:t>)</w:t>
      </w:r>
      <w:r>
        <w:rPr>
          <w:rFonts w:hint="eastAsia"/>
        </w:rPr>
        <w:t>急性重度放射病、局部器官残疾；</w:t>
      </w:r>
    </w:p>
    <w:p w:rsidR="00C82363" w:rsidRDefault="00C82363" w:rsidP="00AA1EE7">
      <w:pPr>
        <w:pStyle w:val="bd243d13-394e-4bd9-99c9-3a29947aa2a1"/>
        <w:ind w:leftChars="0" w:firstLine="31680"/>
      </w:pPr>
      <w:r>
        <w:t>(3)</w:t>
      </w:r>
      <w:r>
        <w:rPr>
          <w:rFonts w:hint="eastAsia"/>
        </w:rPr>
        <w:t>放射性物质泄漏，造成小范围辐射污染后果。</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1.5.4</w:t>
        </w:r>
      </w:smartTag>
      <w:r>
        <w:rPr>
          <w:rFonts w:hint="eastAsia"/>
        </w:rPr>
        <w:t>一般辐射事故</w:t>
      </w:r>
    </w:p>
    <w:p w:rsidR="00C82363" w:rsidRDefault="00C82363" w:rsidP="00AA1EE7">
      <w:pPr>
        <w:pStyle w:val="bd243d13-394e-4bd9-99c9-3a29947aa2a1"/>
        <w:ind w:leftChars="0" w:firstLine="31680"/>
      </w:pPr>
      <w:r>
        <w:rPr>
          <w:rFonts w:hint="eastAsia"/>
        </w:rPr>
        <w:t>凡符合下列情形之一的，为一般辐射事故：</w:t>
      </w:r>
    </w:p>
    <w:p w:rsidR="00C82363" w:rsidRDefault="00C82363" w:rsidP="00AA1EE7">
      <w:pPr>
        <w:pStyle w:val="bd243d13-394e-4bd9-99c9-3a29947aa2a1"/>
        <w:ind w:leftChars="0" w:firstLine="31680"/>
      </w:pPr>
      <w:r>
        <w:t>(1)</w:t>
      </w:r>
      <w:r>
        <w:rPr>
          <w:rFonts w:hint="eastAsia"/>
        </w:rPr>
        <w:t>Ⅳ、</w:t>
      </w:r>
      <w:r>
        <w:t>V</w:t>
      </w:r>
      <w:r>
        <w:rPr>
          <w:rFonts w:hint="eastAsia"/>
        </w:rPr>
        <w:t>类放射源丢失、被盗、失控；</w:t>
      </w:r>
    </w:p>
    <w:p w:rsidR="00C82363" w:rsidRDefault="00C82363" w:rsidP="00AA1EE7">
      <w:pPr>
        <w:pStyle w:val="bd243d13-394e-4bd9-99c9-3a29947aa2a1"/>
        <w:ind w:leftChars="0" w:firstLine="31680"/>
      </w:pPr>
      <w:r>
        <w:t>(2)</w:t>
      </w:r>
      <w:r>
        <w:rPr>
          <w:rFonts w:hint="eastAsia"/>
        </w:rPr>
        <w:t>放射性同位素和射线装置失控导致人员受到超过年剂量限值的照射；</w:t>
      </w:r>
    </w:p>
    <w:p w:rsidR="00C82363" w:rsidRDefault="00C82363" w:rsidP="00AA1EE7">
      <w:pPr>
        <w:pStyle w:val="bd243d13-394e-4bd9-99c9-3a29947aa2a1"/>
        <w:ind w:leftChars="0" w:firstLine="31680"/>
      </w:pPr>
      <w:r>
        <w:t>(3)</w:t>
      </w:r>
      <w:r>
        <w:rPr>
          <w:rFonts w:hint="eastAsia"/>
        </w:rPr>
        <w:t>放射性物质泄漏，造成厂区内或设施内局部辐射污染后果</w:t>
      </w:r>
      <w:r>
        <w:t>;</w:t>
      </w:r>
    </w:p>
    <w:p w:rsidR="00C82363" w:rsidRDefault="00C82363" w:rsidP="00AA1EE7">
      <w:pPr>
        <w:pStyle w:val="bd243d13-394e-4bd9-99c9-3a29947aa2a1"/>
        <w:ind w:leftChars="0" w:firstLine="31680"/>
      </w:pPr>
      <w:r>
        <w:t>(4)</w:t>
      </w:r>
      <w:r>
        <w:rPr>
          <w:rFonts w:hint="eastAsia"/>
        </w:rPr>
        <w:t>铀矿冶、伴生矿超标排放，造成环境辐射污染后果。</w:t>
      </w:r>
    </w:p>
    <w:p w:rsidR="00C82363" w:rsidRDefault="00C82363" w:rsidP="00AA1EE7">
      <w:pPr>
        <w:pStyle w:val="bd243d13-394e-4bd9-99c9-3a29947aa2a1"/>
        <w:ind w:leftChars="0" w:firstLine="31680"/>
      </w:pPr>
      <w:r>
        <w:t>(5)</w:t>
      </w:r>
      <w:r>
        <w:rPr>
          <w:rFonts w:hint="eastAsia"/>
        </w:rPr>
        <w:t>测井用放射源落井，打捞不成功进行封井处理。</w:t>
      </w:r>
    </w:p>
    <w:p w:rsidR="00C82363" w:rsidRDefault="00C82363" w:rsidP="00AA1EE7">
      <w:pPr>
        <w:pStyle w:val="bd243d13-394e-4bd9-99c9-3a29947aa2a1"/>
        <w:ind w:leftChars="0" w:firstLine="31680"/>
      </w:pPr>
      <w:r>
        <w:rPr>
          <w:rFonts w:hint="eastAsia"/>
        </w:rPr>
        <w:t>辐射事故的量化指标见表</w:t>
      </w:r>
      <w:r>
        <w:t>1</w:t>
      </w:r>
      <w:r>
        <w:rPr>
          <w:rFonts w:hint="eastAsia"/>
        </w:rPr>
        <w:t>。</w:t>
      </w:r>
      <w:r>
        <w:br w:type="page"/>
      </w:r>
    </w:p>
    <w:p w:rsidR="00C82363" w:rsidRDefault="00C82363">
      <w:pPr>
        <w:pStyle w:val="bd243d13-394e-4bd9-99c9-3a29947aa2a1"/>
        <w:ind w:leftChars="0" w:firstLineChars="0" w:firstLine="0"/>
        <w:jc w:val="center"/>
      </w:pPr>
      <w:r>
        <w:rPr>
          <w:rFonts w:hint="eastAsia"/>
        </w:rPr>
        <w:t>表</w:t>
      </w:r>
      <w:r>
        <w:t>1:</w:t>
      </w:r>
      <w:r>
        <w:rPr>
          <w:rFonts w:hint="eastAsia"/>
        </w:rPr>
        <w:t>辐射事故分级的量化指标</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756"/>
        <w:gridCol w:w="1620"/>
        <w:gridCol w:w="1930"/>
        <w:gridCol w:w="1692"/>
        <w:gridCol w:w="1765"/>
        <w:gridCol w:w="1297"/>
      </w:tblGrid>
      <w:tr w:rsidR="00C82363" w:rsidRPr="00810034">
        <w:trPr>
          <w:trHeight w:val="624"/>
        </w:trPr>
        <w:tc>
          <w:tcPr>
            <w:tcW w:w="417"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辐射事故量化指标</w:t>
            </w:r>
          </w:p>
        </w:tc>
        <w:tc>
          <w:tcPr>
            <w:tcW w:w="89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气态放射性物质</w:t>
            </w:r>
            <w:r w:rsidRPr="00810034">
              <w:rPr>
                <w:rFonts w:ascii="Times New Roman" w:eastAsia="宋体" w:hAnsi="Times New Roman"/>
                <w:b/>
                <w:bCs/>
                <w:snapToGrid w:val="0"/>
                <w:sz w:val="24"/>
                <w:szCs w:val="24"/>
              </w:rPr>
              <w:t>I-131</w:t>
            </w:r>
            <w:r w:rsidRPr="00810034">
              <w:rPr>
                <w:rFonts w:ascii="Times New Roman" w:eastAsia="宋体" w:hAnsi="Times New Roman" w:hint="eastAsia"/>
                <w:b/>
                <w:bCs/>
                <w:snapToGrid w:val="0"/>
                <w:sz w:val="24"/>
                <w:szCs w:val="24"/>
              </w:rPr>
              <w:t>当量</w:t>
            </w:r>
          </w:p>
        </w:tc>
        <w:tc>
          <w:tcPr>
            <w:tcW w:w="1065"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环境剂量率≥</w:t>
            </w:r>
            <w:r w:rsidRPr="00810034">
              <w:rPr>
                <w:rFonts w:ascii="Times New Roman" w:eastAsia="宋体" w:hAnsi="Times New Roman"/>
                <w:b/>
                <w:bCs/>
                <w:snapToGrid w:val="0"/>
                <w:sz w:val="24"/>
                <w:szCs w:val="24"/>
              </w:rPr>
              <w:t>0.1mSv/h</w:t>
            </w:r>
            <w:r w:rsidRPr="00810034">
              <w:rPr>
                <w:rFonts w:ascii="Times New Roman" w:eastAsia="宋体" w:hAnsi="Times New Roman" w:hint="eastAsia"/>
                <w:b/>
                <w:bCs/>
                <w:snapToGrid w:val="0"/>
                <w:sz w:val="24"/>
                <w:szCs w:val="24"/>
              </w:rPr>
              <w:t>的面积，或β</w:t>
            </w:r>
            <w:r w:rsidRPr="00810034">
              <w:rPr>
                <w:rFonts w:ascii="Times New Roman" w:eastAsia="宋体" w:hAnsi="Times New Roman"/>
                <w:b/>
                <w:bCs/>
                <w:snapToGrid w:val="0"/>
                <w:sz w:val="24"/>
                <w:szCs w:val="24"/>
              </w:rPr>
              <w:t>/Y</w:t>
            </w:r>
            <w:r w:rsidRPr="00810034">
              <w:rPr>
                <w:rFonts w:ascii="Times New Roman" w:eastAsia="宋体" w:hAnsi="Times New Roman" w:hint="eastAsia"/>
                <w:b/>
                <w:bCs/>
                <w:snapToGrid w:val="0"/>
                <w:sz w:val="24"/>
                <w:szCs w:val="24"/>
              </w:rPr>
              <w:t>沉积水平≥</w:t>
            </w:r>
            <w:r w:rsidRPr="00810034">
              <w:rPr>
                <w:rFonts w:ascii="Times New Roman" w:eastAsia="宋体" w:hAnsi="Times New Roman"/>
                <w:b/>
                <w:bCs/>
                <w:snapToGrid w:val="0"/>
                <w:sz w:val="24"/>
                <w:szCs w:val="24"/>
              </w:rPr>
              <w:t>1000Bq/cm</w:t>
            </w:r>
            <w:r>
              <w:rPr>
                <w:rFonts w:ascii="Times New Roman" w:eastAsia="宋体" w:hAnsi="Times New Roman" w:cs="Calibri"/>
                <w:b/>
                <w:bCs/>
                <w:snapToGrid w:val="0"/>
                <w:sz w:val="24"/>
                <w:szCs w:val="24"/>
              </w:rPr>
              <w:t>²</w:t>
            </w:r>
            <w:r w:rsidRPr="00810034">
              <w:rPr>
                <w:rFonts w:ascii="Times New Roman" w:eastAsia="宋体" w:hAnsi="Times New Roman"/>
                <w:b/>
                <w:bCs/>
                <w:snapToGrid w:val="0"/>
                <w:sz w:val="24"/>
                <w:szCs w:val="24"/>
              </w:rPr>
              <w:t>,</w:t>
            </w:r>
            <w:r w:rsidRPr="00810034">
              <w:rPr>
                <w:rFonts w:ascii="Times New Roman" w:eastAsia="宋体" w:hAnsi="Times New Roman" w:hint="eastAsia"/>
                <w:b/>
                <w:bCs/>
                <w:snapToGrid w:val="0"/>
                <w:sz w:val="24"/>
                <w:szCs w:val="24"/>
              </w:rPr>
              <w:t>或α沉积活度≥</w:t>
            </w:r>
            <w:r w:rsidRPr="00810034">
              <w:rPr>
                <w:rFonts w:ascii="Times New Roman" w:eastAsia="宋体" w:hAnsi="Times New Roman"/>
                <w:b/>
                <w:bCs/>
                <w:snapToGrid w:val="0"/>
                <w:sz w:val="24"/>
                <w:szCs w:val="24"/>
              </w:rPr>
              <w:t>100Bq/cm</w:t>
            </w:r>
            <w:r>
              <w:rPr>
                <w:rFonts w:ascii="Times New Roman" w:eastAsia="宋体" w:hAnsi="Times New Roman" w:cs="Calibri"/>
                <w:b/>
                <w:bCs/>
                <w:snapToGrid w:val="0"/>
                <w:sz w:val="24"/>
                <w:szCs w:val="24"/>
              </w:rPr>
              <w:t>²</w:t>
            </w:r>
          </w:p>
        </w:tc>
        <w:tc>
          <w:tcPr>
            <w:tcW w:w="93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水环境液态放射性物质的释放量的</w:t>
            </w:r>
            <w:r w:rsidRPr="00810034">
              <w:rPr>
                <w:rFonts w:ascii="Times New Roman" w:eastAsia="宋体" w:hAnsi="Times New Roman"/>
                <w:b/>
                <w:bCs/>
                <w:snapToGrid w:val="0"/>
                <w:sz w:val="24"/>
                <w:szCs w:val="24"/>
              </w:rPr>
              <w:t>Sr-90</w:t>
            </w:r>
            <w:r w:rsidRPr="00810034">
              <w:rPr>
                <w:rFonts w:ascii="Times New Roman" w:eastAsia="宋体" w:hAnsi="Times New Roman" w:hint="eastAsia"/>
                <w:b/>
                <w:bCs/>
                <w:snapToGrid w:val="0"/>
                <w:sz w:val="24"/>
                <w:szCs w:val="24"/>
              </w:rPr>
              <w:t>当量</w:t>
            </w:r>
          </w:p>
        </w:tc>
        <w:tc>
          <w:tcPr>
            <w:tcW w:w="97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地表、土壤污染液态放射性物质的释放量的</w:t>
            </w:r>
            <w:r w:rsidRPr="00810034">
              <w:rPr>
                <w:rFonts w:ascii="Times New Roman" w:eastAsia="宋体" w:hAnsi="Times New Roman"/>
                <w:b/>
                <w:bCs/>
                <w:snapToGrid w:val="0"/>
                <w:sz w:val="24"/>
                <w:szCs w:val="24"/>
              </w:rPr>
              <w:t>Sr-90</w:t>
            </w:r>
            <w:r w:rsidRPr="00810034">
              <w:rPr>
                <w:rFonts w:ascii="Times New Roman" w:eastAsia="宋体" w:hAnsi="Times New Roman" w:hint="eastAsia"/>
                <w:b/>
                <w:bCs/>
                <w:snapToGrid w:val="0"/>
                <w:sz w:val="24"/>
                <w:szCs w:val="24"/>
              </w:rPr>
              <w:t>当量</w:t>
            </w:r>
          </w:p>
        </w:tc>
        <w:tc>
          <w:tcPr>
            <w:tcW w:w="716"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b/>
                <w:bCs/>
                <w:snapToGrid w:val="0"/>
                <w:sz w:val="24"/>
                <w:szCs w:val="24"/>
              </w:rPr>
              <w:t>运输时放射性同位素释放</w:t>
            </w:r>
          </w:p>
        </w:tc>
      </w:tr>
      <w:tr w:rsidR="00C82363" w:rsidRPr="00810034">
        <w:trPr>
          <w:trHeight w:val="624"/>
        </w:trPr>
        <w:tc>
          <w:tcPr>
            <w:tcW w:w="417"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特别</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重大</w:t>
            </w:r>
          </w:p>
        </w:tc>
        <w:tc>
          <w:tcPr>
            <w:tcW w:w="89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5.0E+15Bq</w:t>
            </w:r>
          </w:p>
        </w:tc>
        <w:tc>
          <w:tcPr>
            <w:tcW w:w="1065"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smartTag w:uri="urn:schemas-microsoft-com:office:smarttags" w:element="chmetcnv">
              <w:smartTagPr>
                <w:attr w:name="TCSC" w:val="0"/>
                <w:attr w:name="NumberType" w:val="1"/>
                <w:attr w:name="Negative" w:val="False"/>
                <w:attr w:name="HasSpace" w:val="False"/>
                <w:attr w:name="SourceValue" w:val="3"/>
                <w:attr w:name="UnitName" w:val="km"/>
              </w:smartTagPr>
              <w:r w:rsidRPr="00810034">
                <w:rPr>
                  <w:rFonts w:ascii="Times New Roman" w:eastAsia="宋体" w:hAnsi="Times New Roman"/>
                  <w:snapToGrid w:val="0"/>
                  <w:sz w:val="24"/>
                  <w:szCs w:val="24"/>
                </w:rPr>
                <w:t>3km</w:t>
              </w:r>
            </w:smartTag>
            <w:r>
              <w:rPr>
                <w:rFonts w:ascii="Times New Roman" w:eastAsia="宋体" w:hAnsi="Times New Roman" w:cs="Calibri"/>
                <w:snapToGrid w:val="0"/>
                <w:sz w:val="24"/>
                <w:szCs w:val="24"/>
              </w:rPr>
              <w:t>²</w:t>
            </w:r>
          </w:p>
        </w:tc>
        <w:tc>
          <w:tcPr>
            <w:tcW w:w="93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1.0E+13Bq</w:t>
            </w:r>
          </w:p>
        </w:tc>
        <w:tc>
          <w:tcPr>
            <w:tcW w:w="97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1.0E+14Bq</w:t>
            </w:r>
          </w:p>
        </w:tc>
        <w:tc>
          <w:tcPr>
            <w:tcW w:w="716"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25000D</w:t>
            </w:r>
            <w:r>
              <w:rPr>
                <w:rFonts w:ascii="MS Mincho" w:eastAsia="MS Mincho" w:hAnsi="MS Mincho" w:cs="MS Mincho" w:hint="eastAsia"/>
                <w:snapToGrid w:val="0"/>
                <w:sz w:val="24"/>
                <w:szCs w:val="24"/>
              </w:rPr>
              <w:t>₂</w:t>
            </w:r>
          </w:p>
        </w:tc>
      </w:tr>
      <w:tr w:rsidR="00C82363" w:rsidRPr="00810034">
        <w:trPr>
          <w:trHeight w:val="624"/>
        </w:trPr>
        <w:tc>
          <w:tcPr>
            <w:tcW w:w="417"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重大</w:t>
            </w:r>
          </w:p>
        </w:tc>
        <w:tc>
          <w:tcPr>
            <w:tcW w:w="89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5.0E+15Bq&gt;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5.0E+14Bq</w:t>
            </w:r>
          </w:p>
        </w:tc>
        <w:tc>
          <w:tcPr>
            <w:tcW w:w="1065"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smartTag w:uri="urn:schemas-microsoft-com:office:smarttags" w:element="chmetcnv">
              <w:smartTagPr>
                <w:attr w:name="TCSC" w:val="0"/>
                <w:attr w:name="NumberType" w:val="1"/>
                <w:attr w:name="Negative" w:val="False"/>
                <w:attr w:name="HasSpace" w:val="False"/>
                <w:attr w:name="SourceValue" w:val="3"/>
                <w:attr w:name="UnitName" w:val="km"/>
              </w:smartTagPr>
              <w:r w:rsidRPr="00810034">
                <w:rPr>
                  <w:rFonts w:ascii="Times New Roman" w:eastAsia="宋体" w:hAnsi="Times New Roman"/>
                  <w:snapToGrid w:val="0"/>
                  <w:sz w:val="24"/>
                  <w:szCs w:val="24"/>
                </w:rPr>
                <w:t>3km</w:t>
              </w:r>
            </w:smartTag>
            <w:r>
              <w:rPr>
                <w:rFonts w:ascii="Times New Roman" w:eastAsia="宋体" w:hAnsi="Times New Roman" w:cs="Calibri"/>
                <w:snapToGrid w:val="0"/>
                <w:sz w:val="24"/>
                <w:szCs w:val="24"/>
              </w:rPr>
              <w:t>²</w:t>
            </w:r>
            <w:r w:rsidRPr="00810034">
              <w:rPr>
                <w:rFonts w:ascii="Times New Roman" w:eastAsia="宋体" w:hAnsi="Times New Roman"/>
                <w:snapToGrid w:val="0"/>
                <w:sz w:val="24"/>
                <w:szCs w:val="24"/>
              </w:rPr>
              <w:t>&gt;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smartTag w:uri="urn:schemas-microsoft-com:office:smarttags" w:element="chmetcnv">
              <w:smartTagPr>
                <w:attr w:name="TCSC" w:val="0"/>
                <w:attr w:name="NumberType" w:val="1"/>
                <w:attr w:name="Negative" w:val="False"/>
                <w:attr w:name="HasSpace" w:val="False"/>
                <w:attr w:name="SourceValue" w:val=".5"/>
                <w:attr w:name="UnitName" w:val="km"/>
              </w:smartTagPr>
              <w:r w:rsidRPr="00810034">
                <w:rPr>
                  <w:rFonts w:ascii="Times New Roman" w:eastAsia="宋体" w:hAnsi="Times New Roman"/>
                  <w:snapToGrid w:val="0"/>
                  <w:sz w:val="24"/>
                  <w:szCs w:val="24"/>
                </w:rPr>
                <w:t>0.5km</w:t>
              </w:r>
            </w:smartTag>
            <w:r>
              <w:rPr>
                <w:rFonts w:ascii="Times New Roman" w:eastAsia="宋体" w:hAnsi="Times New Roman" w:cs="Calibri"/>
                <w:snapToGrid w:val="0"/>
                <w:sz w:val="24"/>
                <w:szCs w:val="24"/>
              </w:rPr>
              <w:t>²</w:t>
            </w:r>
          </w:p>
        </w:tc>
        <w:tc>
          <w:tcPr>
            <w:tcW w:w="93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1.0E+13Bq&gt;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1.0E+12Bq</w:t>
            </w:r>
          </w:p>
        </w:tc>
        <w:tc>
          <w:tcPr>
            <w:tcW w:w="97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1.0E+14Bq&gt;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1.0E+13Bq</w:t>
            </w:r>
          </w:p>
        </w:tc>
        <w:tc>
          <w:tcPr>
            <w:tcW w:w="716"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25000D</w:t>
            </w:r>
            <w:r>
              <w:rPr>
                <w:rFonts w:ascii="MS Mincho" w:eastAsia="MS Mincho" w:hAnsi="MS Mincho" w:cs="MS Mincho" w:hint="eastAsia"/>
                <w:snapToGrid w:val="0"/>
                <w:sz w:val="24"/>
                <w:szCs w:val="24"/>
              </w:rPr>
              <w:t>₂</w:t>
            </w:r>
            <w:r w:rsidRPr="00810034">
              <w:rPr>
                <w:rFonts w:ascii="Times New Roman" w:eastAsia="宋体" w:hAnsi="Times New Roman"/>
                <w:snapToGrid w:val="0"/>
                <w:sz w:val="24"/>
                <w:szCs w:val="24"/>
              </w:rPr>
              <w:t>&gt;</w:t>
            </w: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2500D</w:t>
            </w:r>
            <w:r>
              <w:rPr>
                <w:rFonts w:ascii="MS Mincho" w:eastAsia="MS Mincho" w:hAnsi="MS Mincho" w:cs="MS Mincho" w:hint="eastAsia"/>
                <w:snapToGrid w:val="0"/>
                <w:sz w:val="24"/>
                <w:szCs w:val="24"/>
              </w:rPr>
              <w:t>₂</w:t>
            </w:r>
          </w:p>
        </w:tc>
      </w:tr>
      <w:tr w:rsidR="00C82363" w:rsidRPr="00810034">
        <w:trPr>
          <w:trHeight w:val="624"/>
        </w:trPr>
        <w:tc>
          <w:tcPr>
            <w:tcW w:w="417"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较大</w:t>
            </w:r>
          </w:p>
        </w:tc>
        <w:tc>
          <w:tcPr>
            <w:tcW w:w="89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5.0E+14Bq&gt;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5.0E+11Bq</w:t>
            </w:r>
          </w:p>
        </w:tc>
        <w:tc>
          <w:tcPr>
            <w:tcW w:w="1065"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smartTag w:uri="urn:schemas-microsoft-com:office:smarttags" w:element="chmetcnv">
              <w:smartTagPr>
                <w:attr w:name="TCSC" w:val="0"/>
                <w:attr w:name="NumberType" w:val="1"/>
                <w:attr w:name="Negative" w:val="False"/>
                <w:attr w:name="HasSpace" w:val="False"/>
                <w:attr w:name="SourceValue" w:val=".5"/>
                <w:attr w:name="UnitName" w:val="km"/>
              </w:smartTagPr>
              <w:r w:rsidRPr="00810034">
                <w:rPr>
                  <w:rFonts w:ascii="Times New Roman" w:eastAsia="宋体" w:hAnsi="Times New Roman"/>
                  <w:snapToGrid w:val="0"/>
                  <w:sz w:val="24"/>
                  <w:szCs w:val="24"/>
                </w:rPr>
                <w:t>0.5km</w:t>
              </w:r>
            </w:smartTag>
            <w:r>
              <w:rPr>
                <w:rFonts w:ascii="Times New Roman" w:eastAsia="宋体" w:hAnsi="Times New Roman" w:cs="Calibri"/>
                <w:snapToGrid w:val="0"/>
                <w:sz w:val="24"/>
                <w:szCs w:val="24"/>
              </w:rPr>
              <w:t>²</w:t>
            </w:r>
            <w:r w:rsidRPr="00810034">
              <w:rPr>
                <w:rFonts w:ascii="Times New Roman" w:eastAsia="宋体" w:hAnsi="Times New Roman"/>
                <w:snapToGrid w:val="0"/>
                <w:sz w:val="24"/>
                <w:szCs w:val="24"/>
              </w:rPr>
              <w:t>&gt;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smartTag w:uri="urn:schemas-microsoft-com:office:smarttags" w:element="chmetcnv">
              <w:smartTagPr>
                <w:attr w:name="TCSC" w:val="0"/>
                <w:attr w:name="NumberType" w:val="1"/>
                <w:attr w:name="Negative" w:val="False"/>
                <w:attr w:name="HasSpace" w:val="False"/>
                <w:attr w:name="SourceValue" w:val="500"/>
                <w:attr w:name="UnitName" w:val="m²"/>
              </w:smartTagPr>
              <w:r w:rsidRPr="00810034">
                <w:rPr>
                  <w:rFonts w:ascii="Times New Roman" w:eastAsia="宋体" w:hAnsi="Times New Roman"/>
                  <w:snapToGrid w:val="0"/>
                  <w:sz w:val="24"/>
                  <w:szCs w:val="24"/>
                </w:rPr>
                <w:t>500m</w:t>
              </w:r>
              <w:r>
                <w:rPr>
                  <w:rFonts w:ascii="Times New Roman" w:eastAsia="宋体" w:hAnsi="Times New Roman" w:cs="Calibri"/>
                  <w:snapToGrid w:val="0"/>
                  <w:sz w:val="24"/>
                  <w:szCs w:val="24"/>
                </w:rPr>
                <w:t>²</w:t>
              </w:r>
            </w:smartTag>
          </w:p>
        </w:tc>
        <w:tc>
          <w:tcPr>
            <w:tcW w:w="93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1.0E+12Bq&gt;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1.0E+11Bq</w:t>
            </w:r>
          </w:p>
        </w:tc>
        <w:tc>
          <w:tcPr>
            <w:tcW w:w="97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1.0E+13Bq&gt;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1.0E+12Bq</w:t>
            </w:r>
          </w:p>
        </w:tc>
        <w:tc>
          <w:tcPr>
            <w:tcW w:w="716"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2500D</w:t>
            </w:r>
            <w:r>
              <w:rPr>
                <w:rFonts w:ascii="MS Mincho" w:eastAsia="MS Mincho" w:hAnsi="MS Mincho" w:cs="MS Mincho" w:hint="eastAsia"/>
                <w:snapToGrid w:val="0"/>
                <w:sz w:val="24"/>
                <w:szCs w:val="24"/>
              </w:rPr>
              <w:t>₂</w:t>
            </w:r>
            <w:r w:rsidRPr="00810034">
              <w:rPr>
                <w:rFonts w:ascii="Times New Roman" w:eastAsia="宋体" w:hAnsi="Times New Roman"/>
                <w:snapToGrid w:val="0"/>
                <w:sz w:val="24"/>
                <w:szCs w:val="24"/>
              </w:rPr>
              <w:t>&gt;</w:t>
            </w:r>
          </w:p>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w:t>
            </w:r>
            <w:r w:rsidRPr="00810034">
              <w:rPr>
                <w:rFonts w:ascii="Times New Roman" w:eastAsia="宋体" w:hAnsi="Times New Roman"/>
                <w:snapToGrid w:val="0"/>
                <w:sz w:val="24"/>
                <w:szCs w:val="24"/>
              </w:rPr>
              <w:t>2.5D</w:t>
            </w:r>
            <w:r>
              <w:rPr>
                <w:rFonts w:ascii="MS Mincho" w:eastAsia="MS Mincho" w:hAnsi="MS Mincho" w:cs="MS Mincho" w:hint="eastAsia"/>
                <w:snapToGrid w:val="0"/>
                <w:sz w:val="24"/>
                <w:szCs w:val="24"/>
              </w:rPr>
              <w:t>₂</w:t>
            </w:r>
          </w:p>
        </w:tc>
      </w:tr>
      <w:tr w:rsidR="00C82363" w:rsidRPr="00810034">
        <w:trPr>
          <w:trHeight w:val="624"/>
        </w:trPr>
        <w:tc>
          <w:tcPr>
            <w:tcW w:w="417"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hint="eastAsia"/>
                <w:snapToGrid w:val="0"/>
                <w:sz w:val="24"/>
                <w:szCs w:val="24"/>
              </w:rPr>
              <w:t>一般</w:t>
            </w:r>
          </w:p>
        </w:tc>
        <w:tc>
          <w:tcPr>
            <w:tcW w:w="89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&lt;5.0E+11Bq</w:t>
            </w:r>
          </w:p>
        </w:tc>
        <w:tc>
          <w:tcPr>
            <w:tcW w:w="1065"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&lt;</w:t>
            </w:r>
            <w:smartTag w:uri="urn:schemas-microsoft-com:office:smarttags" w:element="chmetcnv">
              <w:smartTagPr>
                <w:attr w:name="TCSC" w:val="0"/>
                <w:attr w:name="NumberType" w:val="1"/>
                <w:attr w:name="Negative" w:val="False"/>
                <w:attr w:name="HasSpace" w:val="False"/>
                <w:attr w:name="SourceValue" w:val="500"/>
                <w:attr w:name="UnitName" w:val="m²"/>
              </w:smartTagPr>
              <w:r w:rsidRPr="00810034">
                <w:rPr>
                  <w:rFonts w:ascii="Times New Roman" w:eastAsia="宋体" w:hAnsi="Times New Roman"/>
                  <w:snapToGrid w:val="0"/>
                  <w:sz w:val="24"/>
                  <w:szCs w:val="24"/>
                </w:rPr>
                <w:t>500m</w:t>
              </w:r>
              <w:r>
                <w:rPr>
                  <w:rFonts w:ascii="Times New Roman" w:eastAsia="宋体" w:hAnsi="Times New Roman" w:cs="Calibri"/>
                  <w:snapToGrid w:val="0"/>
                  <w:sz w:val="24"/>
                  <w:szCs w:val="24"/>
                </w:rPr>
                <w:t>²</w:t>
              </w:r>
            </w:smartTag>
          </w:p>
        </w:tc>
        <w:tc>
          <w:tcPr>
            <w:tcW w:w="93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&lt;1.0E+11Bq</w:t>
            </w:r>
          </w:p>
        </w:tc>
        <w:tc>
          <w:tcPr>
            <w:tcW w:w="974"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&lt;1.0E+12Bq</w:t>
            </w:r>
          </w:p>
        </w:tc>
        <w:tc>
          <w:tcPr>
            <w:tcW w:w="716" w:type="pct"/>
            <w:vAlign w:val="center"/>
          </w:tcPr>
          <w:p w:rsidR="00C82363" w:rsidRPr="00810034" w:rsidRDefault="00C82363">
            <w:pPr>
              <w:pStyle w:val="bd243d13-394e-4bd9-99c9-3a29947aa2a1"/>
              <w:snapToGrid w:val="0"/>
              <w:spacing w:line="240" w:lineRule="auto"/>
              <w:ind w:leftChars="0" w:firstLineChars="0" w:firstLine="0"/>
              <w:jc w:val="center"/>
              <w:rPr>
                <w:rFonts w:ascii="Times New Roman" w:eastAsia="宋体" w:hAnsi="Times New Roman"/>
                <w:snapToGrid w:val="0"/>
                <w:sz w:val="24"/>
                <w:szCs w:val="24"/>
              </w:rPr>
            </w:pPr>
            <w:r w:rsidRPr="00810034">
              <w:rPr>
                <w:rFonts w:ascii="Times New Roman" w:eastAsia="宋体" w:hAnsi="Times New Roman"/>
                <w:snapToGrid w:val="0"/>
                <w:sz w:val="24"/>
                <w:szCs w:val="24"/>
              </w:rPr>
              <w:t>&lt;2.5D</w:t>
            </w:r>
            <w:r>
              <w:rPr>
                <w:rFonts w:ascii="MS Mincho" w:eastAsia="MS Mincho" w:hAnsi="MS Mincho" w:cs="MS Mincho" w:hint="eastAsia"/>
                <w:snapToGrid w:val="0"/>
                <w:sz w:val="24"/>
                <w:szCs w:val="24"/>
              </w:rPr>
              <w:t>₂</w:t>
            </w:r>
          </w:p>
        </w:tc>
      </w:tr>
    </w:tbl>
    <w:p w:rsidR="00C82363" w:rsidRDefault="00C82363" w:rsidP="00C82363">
      <w:pPr>
        <w:pStyle w:val="72c23eac-05e5-485a-9b67-1c7dbe1944ac"/>
        <w:numPr>
          <w:ilvl w:val="0"/>
          <w:numId w:val="0"/>
        </w:numPr>
        <w:ind w:firstLineChars="200" w:firstLine="31680"/>
      </w:pPr>
      <w:bookmarkStart w:id="7" w:name="_Toc21594"/>
      <w:r>
        <w:t>2</w:t>
      </w:r>
      <w:r>
        <w:rPr>
          <w:rFonts w:hint="eastAsia"/>
        </w:rPr>
        <w:t>组织指挥体系</w:t>
      </w:r>
      <w:bookmarkEnd w:id="7"/>
    </w:p>
    <w:p w:rsidR="00C82363" w:rsidRDefault="00C82363" w:rsidP="00AA1EE7">
      <w:pPr>
        <w:pStyle w:val="433e907c-22c4-47aa-a0e2-5f03f9a2dc40"/>
        <w:numPr>
          <w:ilvl w:val="0"/>
          <w:numId w:val="0"/>
        </w:numPr>
        <w:ind w:firstLineChars="200" w:firstLine="31680"/>
      </w:pPr>
      <w:bookmarkStart w:id="8" w:name="_Toc23962"/>
      <w:r>
        <w:t>2.1</w:t>
      </w:r>
      <w:r>
        <w:rPr>
          <w:rFonts w:hint="eastAsia"/>
        </w:rPr>
        <w:t>区辐射指挥部</w:t>
      </w:r>
      <w:bookmarkEnd w:id="8"/>
    </w:p>
    <w:p w:rsidR="00C82363" w:rsidRDefault="00C82363" w:rsidP="00AA1EE7">
      <w:pPr>
        <w:pStyle w:val="bd243d13-394e-4bd9-99c9-3a29947aa2a1"/>
        <w:ind w:leftChars="0" w:firstLine="31680"/>
      </w:pPr>
      <w:r>
        <w:rPr>
          <w:rFonts w:hint="eastAsia"/>
        </w:rPr>
        <w:t>根据工作需要，在区政府统一领导下，设立渝北区辐射事故应急处置指挥部</w:t>
      </w:r>
      <w:r>
        <w:t>(</w:t>
      </w:r>
      <w:r>
        <w:rPr>
          <w:rFonts w:hint="eastAsia"/>
        </w:rPr>
        <w:t>以下简称“区辐射应急指挥部”</w:t>
      </w:r>
      <w:r>
        <w:t>)</w:t>
      </w:r>
      <w:r>
        <w:rPr>
          <w:rFonts w:hint="eastAsia"/>
        </w:rPr>
        <w:t>。</w:t>
      </w:r>
    </w:p>
    <w:p w:rsidR="00C82363" w:rsidRDefault="00C82363" w:rsidP="00AA1EE7">
      <w:pPr>
        <w:pStyle w:val="bd243d13-394e-4bd9-99c9-3a29947aa2a1"/>
        <w:ind w:leftChars="0" w:firstLine="31680"/>
      </w:pPr>
      <w:r>
        <w:rPr>
          <w:rFonts w:hint="eastAsia"/>
        </w:rPr>
        <w:t>区辐射应急指挥部实行指挥长负责制度，由区政府分管领导同志担任指挥长，统一领导和组织一般、较大辐射事故应急处置工作。重大、特别重大辐射事故应急处置工作由市指挥部统一领导和组织。区辐射应急指挥部成员单位包括区应急局、区生态环境局、区公安分局、区委宣传部、区委网信办、区大数据局、区民政局、区财政局、区人力社保局、区医保局、区交通运输委、区水利局、区农业农村委、区商务委、区卫生健康委、区林业局、区市场监管局、区气象局、区消防救援局、事发地镇人民政府和街道办事处等单位。区辐射应急指挥部下设综合协调、应急监测、污染处置、医学救援、应急保障、舆论引导、社会稳定、善后处理、调查评估等工作组。区辐射应急指挥部、成员单位及各工作组具体职责附后</w:t>
      </w:r>
      <w:r>
        <w:t>(</w:t>
      </w:r>
      <w:r>
        <w:rPr>
          <w:rFonts w:hint="eastAsia"/>
        </w:rPr>
        <w:t>详见附件</w:t>
      </w:r>
      <w:r>
        <w:t>1)</w:t>
      </w:r>
      <w:r>
        <w:rPr>
          <w:rFonts w:hint="eastAsia"/>
        </w:rPr>
        <w:t>。区辐射应急指挥部下专家组，对重大防控措施（如交通管制、人员疏散、避迁、隐蔽、碘预防等）的实施提供决策建议，对应急响应等级调整、响应终止提供技术咨询。</w:t>
      </w:r>
    </w:p>
    <w:p w:rsidR="00C82363" w:rsidRDefault="00C82363" w:rsidP="00AA1EE7">
      <w:pPr>
        <w:pStyle w:val="433e907c-22c4-47aa-a0e2-5f03f9a2dc40"/>
        <w:numPr>
          <w:ilvl w:val="0"/>
          <w:numId w:val="0"/>
        </w:numPr>
        <w:ind w:firstLineChars="200" w:firstLine="31680"/>
      </w:pPr>
      <w:bookmarkStart w:id="9" w:name="_Toc6259"/>
      <w:r>
        <w:t>2.2</w:t>
      </w:r>
      <w:r>
        <w:rPr>
          <w:rFonts w:hint="eastAsia"/>
        </w:rPr>
        <w:t>现场指挥部</w:t>
      </w:r>
      <w:bookmarkEnd w:id="9"/>
    </w:p>
    <w:p w:rsidR="00C82363" w:rsidRDefault="00C82363" w:rsidP="00AA1EE7">
      <w:pPr>
        <w:pStyle w:val="bd243d13-394e-4bd9-99c9-3a29947aa2a1"/>
        <w:ind w:leftChars="0" w:firstLine="31680"/>
      </w:pPr>
      <w:r>
        <w:rPr>
          <w:rFonts w:hint="eastAsia"/>
        </w:rPr>
        <w:t>发生一般、较大辐射事故，区政府根据需要成立现场应急处置指挥部，负责制定现场应急处置方案，组织开展应急监测、污染处置、医学救援、人员疏散、现场警戒、交通管制、善后安抚、舆论引导、事故调查等各项工作。</w:t>
      </w:r>
    </w:p>
    <w:p w:rsidR="00C82363" w:rsidRDefault="00C82363" w:rsidP="00AA1EE7">
      <w:pPr>
        <w:pStyle w:val="bd243d13-394e-4bd9-99c9-3a29947aa2a1"/>
        <w:ind w:leftChars="0" w:firstLine="31680"/>
      </w:pPr>
      <w:r>
        <w:rPr>
          <w:rFonts w:hint="eastAsia"/>
        </w:rPr>
        <w:t>发生重大、特别重大辐射事故时，指挥权移交给市指挥部。</w:t>
      </w:r>
    </w:p>
    <w:p w:rsidR="00C82363" w:rsidRDefault="00C82363" w:rsidP="00AA1EE7">
      <w:pPr>
        <w:pStyle w:val="433e907c-22c4-47aa-a0e2-5f03f9a2dc40"/>
        <w:numPr>
          <w:ilvl w:val="0"/>
          <w:numId w:val="0"/>
        </w:numPr>
        <w:ind w:firstLineChars="200" w:firstLine="31680"/>
      </w:pPr>
      <w:bookmarkStart w:id="10" w:name="_Toc1420"/>
      <w:r>
        <w:t>2.3</w:t>
      </w:r>
      <w:r>
        <w:rPr>
          <w:rFonts w:hint="eastAsia"/>
        </w:rPr>
        <w:t>日常管理机构</w:t>
      </w:r>
      <w:bookmarkEnd w:id="10"/>
    </w:p>
    <w:p w:rsidR="00C82363" w:rsidRDefault="00C82363" w:rsidP="00AA1EE7">
      <w:pPr>
        <w:pStyle w:val="bd243d13-394e-4bd9-99c9-3a29947aa2a1"/>
        <w:ind w:leftChars="0" w:firstLine="31680"/>
      </w:pPr>
      <w:r>
        <w:rPr>
          <w:rFonts w:hint="eastAsia"/>
        </w:rPr>
        <w:t>渝北区辐射事故应急管理办公室设于区生态环境局，负责全区辐射事故应急处置的日常管理工作。主要职责：负责编制、修订区辐射事故应急预案；负责区辐射应急处置工作和日常管理工作；负责区有关部门和辐射工作单位安全防护和应急处置准备的监督工作；组织实施区辐射事故的应急宣传、培训和演练。</w:t>
      </w:r>
    </w:p>
    <w:p w:rsidR="00C82363" w:rsidRDefault="00C82363" w:rsidP="00AA1EE7">
      <w:pPr>
        <w:pStyle w:val="72c23eac-05e5-485a-9b67-1c7dbe1944ac"/>
        <w:numPr>
          <w:ilvl w:val="0"/>
          <w:numId w:val="0"/>
        </w:numPr>
        <w:ind w:firstLineChars="200" w:firstLine="31680"/>
      </w:pPr>
      <w:bookmarkStart w:id="11" w:name="_Toc16648"/>
      <w:r>
        <w:t>3</w:t>
      </w:r>
      <w:r>
        <w:rPr>
          <w:rFonts w:hint="eastAsia"/>
        </w:rPr>
        <w:t>预防预警和事故报告</w:t>
      </w:r>
      <w:bookmarkEnd w:id="11"/>
    </w:p>
    <w:p w:rsidR="00C82363" w:rsidRDefault="00C82363" w:rsidP="00AA1EE7">
      <w:pPr>
        <w:pStyle w:val="433e907c-22c4-47aa-a0e2-5f03f9a2dc40"/>
        <w:numPr>
          <w:ilvl w:val="0"/>
          <w:numId w:val="0"/>
        </w:numPr>
        <w:ind w:firstLineChars="200" w:firstLine="31680"/>
      </w:pPr>
      <w:bookmarkStart w:id="12" w:name="_Toc13103"/>
      <w:r>
        <w:t>3.1</w:t>
      </w:r>
      <w:r>
        <w:rPr>
          <w:rFonts w:hint="eastAsia"/>
        </w:rPr>
        <w:t>预防</w:t>
      </w:r>
      <w:bookmarkEnd w:id="12"/>
    </w:p>
    <w:p w:rsidR="00C82363" w:rsidRDefault="00C82363" w:rsidP="00AA1EE7">
      <w:pPr>
        <w:pStyle w:val="bd243d13-394e-4bd9-99c9-3a29947aa2a1"/>
        <w:ind w:leftChars="0" w:firstLine="31680"/>
      </w:pPr>
      <w:r>
        <w:rPr>
          <w:rFonts w:hint="eastAsia"/>
        </w:rPr>
        <w:t>从事核技术利用，放射性废物处理、贮存和处置，放射性物品运输，铀（钍）矿开发利用等的企事业单位要严格落实辐射环境安全主体责任，建立健全辐射环境安全管理制度，配备必要的监测监控设施设备，做好辐射事故风险识别、登记、评估、防控和隐患排查整治等工作。要加强放射源在生产、运输、贮存与使用等环节的监管，定期排查并及时整改安全隐患。要配备相应的辐射防护设施、设备，并定期做好检测、维护。发现可能引发事故的情况，要立即报告区政府和生态环境部门。</w:t>
      </w:r>
    </w:p>
    <w:p w:rsidR="00C82363" w:rsidRDefault="00C82363" w:rsidP="00AA1EE7">
      <w:pPr>
        <w:pStyle w:val="bd243d13-394e-4bd9-99c9-3a29947aa2a1"/>
        <w:ind w:leftChars="0" w:firstLine="31680"/>
      </w:pPr>
      <w:r>
        <w:rPr>
          <w:rFonts w:hint="eastAsia"/>
        </w:rPr>
        <w:t>全区各级各部门要树立预防为主、安全第一的观念，做好日常预防工作。区生态环境局、区公安分局等监管部门要指导、督促有关单位强化放射性废物、放射源的监管，加大放射性物质运输、贮存与使用等环节的监管力度，开展重点隐患区及危险源的排查整治，建立和完善预防为主的日常监督检查机制，消除隐患苗头。逐步推行环境责任险制度，强化社会管理参与力度，增强涉放辐射单位风险防控意识。</w:t>
      </w:r>
    </w:p>
    <w:p w:rsidR="00C82363" w:rsidRDefault="00C82363" w:rsidP="00AA1EE7">
      <w:pPr>
        <w:pStyle w:val="433e907c-22c4-47aa-a0e2-5f03f9a2dc40"/>
        <w:numPr>
          <w:ilvl w:val="0"/>
          <w:numId w:val="0"/>
        </w:numPr>
        <w:ind w:firstLineChars="200" w:firstLine="31680"/>
      </w:pPr>
      <w:bookmarkStart w:id="13" w:name="_Toc10260"/>
      <w:r>
        <w:t>3.2</w:t>
      </w:r>
      <w:r>
        <w:rPr>
          <w:rFonts w:hint="eastAsia"/>
        </w:rPr>
        <w:t>监测</w:t>
      </w:r>
      <w:bookmarkEnd w:id="13"/>
    </w:p>
    <w:p w:rsidR="00C82363" w:rsidRDefault="00C82363" w:rsidP="00AA1EE7">
      <w:pPr>
        <w:pStyle w:val="bd243d13-394e-4bd9-99c9-3a29947aa2a1"/>
        <w:ind w:leftChars="0" w:firstLine="31680"/>
      </w:pPr>
      <w:r>
        <w:rPr>
          <w:rFonts w:hint="eastAsia"/>
        </w:rPr>
        <w:t>区生态环境局、区卫生健康委等有关部门要加强日常监测，及时收集、分析和研判可能导致辐射事故的风险信息。要加强信息共享，区公安分局、区卫生健康委、区应急局、区交通运输委等有关部门要定期对从事核技术利用，放射性废物处理、贮存和处置，放射性物品运输，铀（钍）矿开发利用等的企事业单位进行检查，发现可能导致辐射事故的风险隐患，要及时通报区生态环境局。</w:t>
      </w:r>
    </w:p>
    <w:p w:rsidR="00C82363" w:rsidRDefault="00C82363" w:rsidP="00AA1EE7">
      <w:pPr>
        <w:pStyle w:val="433e907c-22c4-47aa-a0e2-5f03f9a2dc40"/>
        <w:numPr>
          <w:ilvl w:val="0"/>
          <w:numId w:val="0"/>
        </w:numPr>
        <w:ind w:firstLineChars="200" w:firstLine="31680"/>
      </w:pPr>
      <w:bookmarkStart w:id="14" w:name="_Toc31685"/>
      <w:r>
        <w:t>3.3</w:t>
      </w:r>
      <w:r>
        <w:rPr>
          <w:rFonts w:hint="eastAsia"/>
        </w:rPr>
        <w:t>预警</w:t>
      </w:r>
      <w:bookmarkEnd w:id="14"/>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3.3.1</w:t>
        </w:r>
      </w:smartTag>
      <w:r>
        <w:rPr>
          <w:rFonts w:hint="eastAsia"/>
        </w:rPr>
        <w:t>预警分级</w:t>
      </w:r>
    </w:p>
    <w:p w:rsidR="00C82363" w:rsidRDefault="00C82363" w:rsidP="00AA1EE7">
      <w:pPr>
        <w:pStyle w:val="bd243d13-394e-4bd9-99c9-3a29947aa2a1"/>
        <w:ind w:leftChars="0" w:firstLine="31680"/>
      </w:pPr>
      <w:r>
        <w:rPr>
          <w:rFonts w:hint="eastAsia"/>
        </w:rPr>
        <w:t>可以预警的辐射事故，根据事故发生的紧急程度、发展态势和可能造成的危害程度，预警级别由高到低依次为一级、二级、三级、四级，分别用红色、橙色、黄色、蓝色标示，一级为最高级别。</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3.3.2</w:t>
        </w:r>
      </w:smartTag>
      <w:r>
        <w:rPr>
          <w:rFonts w:hint="eastAsia"/>
        </w:rPr>
        <w:t>预警发布</w:t>
      </w:r>
    </w:p>
    <w:p w:rsidR="00C82363" w:rsidRDefault="00C82363" w:rsidP="00AA1EE7">
      <w:pPr>
        <w:pStyle w:val="bd243d13-394e-4bd9-99c9-3a29947aa2a1"/>
        <w:ind w:leftChars="0" w:firstLine="31680"/>
      </w:pPr>
      <w:r>
        <w:t>(1)</w:t>
      </w:r>
      <w:r>
        <w:rPr>
          <w:rFonts w:hint="eastAsia"/>
        </w:rPr>
        <w:t>发布权限。蓝色和黄色预警信息由区政府或区政府授权区级有关部门发布；橙色和红色预警信息由市政府或市政府授权市级有关部门发布。区生态环境局应当组织有关部门、机构以及专家进行研判，预估可能的影响范围和危害程度，向区政府提出预警级别建议。</w:t>
      </w:r>
    </w:p>
    <w:p w:rsidR="00C82363" w:rsidRDefault="00C82363" w:rsidP="00AA1EE7">
      <w:pPr>
        <w:pStyle w:val="bd243d13-394e-4bd9-99c9-3a29947aa2a1"/>
        <w:ind w:leftChars="0" w:firstLine="31680"/>
      </w:pPr>
      <w:r>
        <w:t>(2)</w:t>
      </w:r>
      <w:r>
        <w:rPr>
          <w:rFonts w:hint="eastAsia"/>
        </w:rPr>
        <w:t>发布内容。预警信息内容包括：发布单位、发布时间、可能发生突发事件的类别、可能影响范围、预警级别、警示事项、事态发展、相关措施、咨询电话等。</w:t>
      </w:r>
    </w:p>
    <w:p w:rsidR="00C82363" w:rsidRDefault="00C82363" w:rsidP="00AA1EE7">
      <w:pPr>
        <w:pStyle w:val="bd243d13-394e-4bd9-99c9-3a29947aa2a1"/>
        <w:ind w:leftChars="0" w:firstLine="31680"/>
      </w:pPr>
      <w:r>
        <w:t>(3)</w:t>
      </w:r>
      <w:r>
        <w:rPr>
          <w:rFonts w:hint="eastAsia"/>
        </w:rPr>
        <w:t>发布途径。预警信息应当通过突发事件预警信息平台或电视、广播、报纸、微博、微信、手机短信等途径向公众发布。广播站、电视台、报社、网站和电信运营单位应当及时、准确、无偿地向社会公众传播预警信息。</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3.3.3</w:t>
        </w:r>
      </w:smartTag>
      <w:r>
        <w:rPr>
          <w:rFonts w:hint="eastAsia"/>
        </w:rPr>
        <w:t>预警行动</w:t>
      </w:r>
    </w:p>
    <w:p w:rsidR="00C82363" w:rsidRDefault="00C82363" w:rsidP="00AA1EE7">
      <w:pPr>
        <w:pStyle w:val="bd243d13-394e-4bd9-99c9-3a29947aa2a1"/>
        <w:ind w:leftChars="0" w:firstLine="31680"/>
      </w:pPr>
      <w:r>
        <w:rPr>
          <w:rFonts w:hint="eastAsia"/>
        </w:rPr>
        <w:t>预警信息发布后，区政府及有关部门和单位可视情况采取以下措施：</w:t>
      </w:r>
    </w:p>
    <w:p w:rsidR="00C82363" w:rsidRDefault="00C82363" w:rsidP="00AA1EE7">
      <w:pPr>
        <w:pStyle w:val="bd243d13-394e-4bd9-99c9-3a29947aa2a1"/>
        <w:ind w:leftChars="0" w:firstLine="31680"/>
      </w:pPr>
      <w:r>
        <w:t>(1)</w:t>
      </w:r>
      <w:r>
        <w:rPr>
          <w:rFonts w:hint="eastAsia"/>
        </w:rPr>
        <w:t>分析研判。组织有关部门、机构及专家及时进行分析研判，预估可能的影响范围和危害程度，制定相应防范应对措施。</w:t>
      </w:r>
    </w:p>
    <w:p w:rsidR="00C82363" w:rsidRDefault="00C82363" w:rsidP="00AA1EE7">
      <w:pPr>
        <w:pStyle w:val="bd243d13-394e-4bd9-99c9-3a29947aa2a1"/>
        <w:ind w:leftChars="0" w:firstLine="31680"/>
      </w:pPr>
      <w:r>
        <w:t>(2)</w:t>
      </w:r>
      <w:r>
        <w:rPr>
          <w:rFonts w:hint="eastAsia"/>
        </w:rPr>
        <w:t>防范处置。视情在涉险区域设置警示标志，利用各种渠道告知公众避险，提前疏散、转移可能受到危害的人员，并进行妥善安置，必要时实施交通管制，封闭危险区域和道路。</w:t>
      </w:r>
    </w:p>
    <w:p w:rsidR="00C82363" w:rsidRDefault="00C82363" w:rsidP="00AA1EE7">
      <w:pPr>
        <w:pStyle w:val="bd243d13-394e-4bd9-99c9-3a29947aa2a1"/>
        <w:ind w:leftChars="0" w:firstLine="31680"/>
      </w:pPr>
      <w:r>
        <w:t>(3)</w:t>
      </w:r>
      <w:r>
        <w:rPr>
          <w:rFonts w:hint="eastAsia"/>
        </w:rPr>
        <w:t>应急准备。通知应急救援队伍、负有特定职责的人员进入待命状态，并调集应急所需物资和设备。</w:t>
      </w:r>
    </w:p>
    <w:p w:rsidR="00C82363" w:rsidRDefault="00C82363" w:rsidP="00AA1EE7">
      <w:pPr>
        <w:pStyle w:val="bd243d13-394e-4bd9-99c9-3a29947aa2a1"/>
        <w:ind w:leftChars="0" w:firstLine="31680"/>
      </w:pPr>
      <w:r>
        <w:t>(4)</w:t>
      </w:r>
      <w:r>
        <w:rPr>
          <w:rFonts w:hint="eastAsia"/>
        </w:rPr>
        <w:t>舆论引导。及时准确发布事态最新情况，公布咨询电话，组织专家解读，宣传辐射事故应急防护知识，加强舆情监测，做好舆论引导工作。</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3.3.4</w:t>
        </w:r>
      </w:smartTag>
      <w:r>
        <w:rPr>
          <w:rFonts w:hint="eastAsia"/>
        </w:rPr>
        <w:t>预警调整和解除</w:t>
      </w:r>
    </w:p>
    <w:p w:rsidR="00C82363" w:rsidRDefault="00C82363" w:rsidP="00AA1EE7">
      <w:pPr>
        <w:pStyle w:val="bd243d13-394e-4bd9-99c9-3a29947aa2a1"/>
        <w:ind w:leftChars="0" w:firstLine="31680"/>
      </w:pPr>
      <w:r>
        <w:rPr>
          <w:rFonts w:hint="eastAsia"/>
        </w:rPr>
        <w:t>预警信息发布后，预警信息发布单位应当加强信息收集、分析、研判工作，并根据事态发展，按照有关规定适时调整预警级别。确定不可能发生辐射事故或危险已经解除时，预警信息发布单位应当及时宣布解除预警，终止相关预警措施。</w:t>
      </w:r>
    </w:p>
    <w:p w:rsidR="00C82363" w:rsidRDefault="00C82363" w:rsidP="00AA1EE7">
      <w:pPr>
        <w:pStyle w:val="433e907c-22c4-47aa-a0e2-5f03f9a2dc40"/>
        <w:numPr>
          <w:ilvl w:val="0"/>
          <w:numId w:val="0"/>
        </w:numPr>
        <w:ind w:firstLineChars="200" w:firstLine="31680"/>
      </w:pPr>
      <w:bookmarkStart w:id="15" w:name="_Toc27712"/>
      <w:r>
        <w:t>3.4</w:t>
      </w:r>
      <w:r>
        <w:rPr>
          <w:rFonts w:hint="eastAsia"/>
        </w:rPr>
        <w:t>信息报告</w:t>
      </w:r>
      <w:bookmarkEnd w:id="15"/>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3.4.1</w:t>
        </w:r>
      </w:smartTag>
      <w:r>
        <w:rPr>
          <w:rFonts w:hint="eastAsia"/>
        </w:rPr>
        <w:t>报送程序</w:t>
      </w:r>
    </w:p>
    <w:p w:rsidR="00C82363" w:rsidRDefault="00C82363" w:rsidP="00AA1EE7">
      <w:pPr>
        <w:pStyle w:val="bd243d13-394e-4bd9-99c9-3a29947aa2a1"/>
        <w:ind w:leftChars="0" w:firstLine="31680"/>
      </w:pPr>
      <w:r>
        <w:rPr>
          <w:rFonts w:hint="eastAsia"/>
        </w:rPr>
        <w:t>辐射事故发生单位发现辐射事故后应立即向区生态环境局和有关部门报告，如发生放射性同位素丢失、被盗，应同时报区公安分局；公众可通过“</w:t>
      </w:r>
      <w:r>
        <w:t>110</w:t>
      </w:r>
      <w:r>
        <w:rPr>
          <w:rFonts w:hint="eastAsia"/>
        </w:rPr>
        <w:t>”公安报警电话或“</w:t>
      </w:r>
      <w:r>
        <w:t>12345</w:t>
      </w:r>
      <w:r>
        <w:rPr>
          <w:rFonts w:hint="eastAsia"/>
        </w:rPr>
        <w:t>”政务服务便民热线报告。区生态环境局接到报告后，应立刻进行信息核实和初步甄别，迅速报区政府并按规定启动应急预案，同时向市生态环境局报告，并及时通报事故发展情况和应急处置情况。报告流程见下图：</w:t>
      </w:r>
    </w:p>
    <w:p w:rsidR="00C82363" w:rsidRDefault="00C82363" w:rsidP="00AA1EE7">
      <w:pPr>
        <w:pStyle w:val="bd243d13-394e-4bd9-99c9-3a29947aa2a1"/>
        <w:ind w:leftChars="0" w:firstLine="31680"/>
      </w:pPr>
      <w:r>
        <w:rPr>
          <w:rFonts w:hint="eastAsia"/>
        </w:rPr>
        <w:t>渝北区辐射事故应急区级相关部门和单位联系表详见附件</w:t>
      </w:r>
      <w:r>
        <w:t>2</w:t>
      </w:r>
      <w:r>
        <w:rPr>
          <w:rFonts w:hint="eastAsia"/>
        </w:rPr>
        <w:t>。</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3.4.2</w:t>
        </w:r>
      </w:smartTag>
      <w:r>
        <w:rPr>
          <w:rFonts w:hint="eastAsia"/>
        </w:rPr>
        <w:t>报告人</w:t>
      </w:r>
    </w:p>
    <w:p w:rsidR="00C82363" w:rsidRDefault="00C82363" w:rsidP="00AA1EE7">
      <w:pPr>
        <w:pStyle w:val="bd243d13-394e-4bd9-99c9-3a29947aa2a1"/>
        <w:ind w:leftChars="0" w:firstLine="31680"/>
      </w:pPr>
      <w:r>
        <w:t>(1)</w:t>
      </w:r>
      <w:r>
        <w:rPr>
          <w:rFonts w:hint="eastAsia"/>
        </w:rPr>
        <w:t>责任报告单位：辐射事故发生单位以及区生态环境局。</w:t>
      </w:r>
    </w:p>
    <w:p w:rsidR="00C82363" w:rsidRDefault="00C82363" w:rsidP="00AA1EE7">
      <w:pPr>
        <w:pStyle w:val="bd243d13-394e-4bd9-99c9-3a29947aa2a1"/>
        <w:ind w:leftChars="0" w:firstLine="31680"/>
      </w:pPr>
      <w:r>
        <w:t>(2)</w:t>
      </w:r>
      <w:r>
        <w:rPr>
          <w:rFonts w:hint="eastAsia"/>
        </w:rPr>
        <w:t>报告人：公众发现辐射事故后应当向政府有关部门报告。</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3.4.3</w:t>
        </w:r>
      </w:smartTag>
      <w:r>
        <w:rPr>
          <w:rFonts w:hint="eastAsia"/>
        </w:rPr>
        <w:t>报告方式</w:t>
      </w:r>
    </w:p>
    <w:p w:rsidR="00C82363" w:rsidRDefault="00C82363" w:rsidP="00AA1EE7">
      <w:pPr>
        <w:pStyle w:val="bd243d13-394e-4bd9-99c9-3a29947aa2a1"/>
        <w:ind w:leftChars="0" w:firstLine="31680"/>
      </w:pPr>
      <w:r>
        <w:rPr>
          <w:rFonts w:hint="eastAsia"/>
        </w:rPr>
        <w:t>辐射事故信息报告一般采用书面形式。情况紧急时，可先采用电话、传真、网络等方式报告，并随后补充书面报告。</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3.4.4</w:t>
        </w:r>
      </w:smartTag>
      <w:r>
        <w:rPr>
          <w:rFonts w:hint="eastAsia"/>
        </w:rPr>
        <w:t>报告内容</w:t>
      </w:r>
    </w:p>
    <w:p w:rsidR="00C82363" w:rsidRDefault="00C82363" w:rsidP="00AA1EE7">
      <w:pPr>
        <w:pStyle w:val="bd243d13-394e-4bd9-99c9-3a29947aa2a1"/>
        <w:ind w:leftChars="0" w:firstLine="31680"/>
      </w:pPr>
      <w:r>
        <w:rPr>
          <w:rFonts w:hint="eastAsia"/>
        </w:rPr>
        <w:t>报告分为初报、续报和总结报告三类。</w:t>
      </w:r>
    </w:p>
    <w:p w:rsidR="00C82363" w:rsidRDefault="00C82363" w:rsidP="00AA1EE7">
      <w:pPr>
        <w:pStyle w:val="bd243d13-394e-4bd9-99c9-3a29947aa2a1"/>
        <w:ind w:leftChars="0" w:firstLine="31680"/>
      </w:pPr>
      <w:r>
        <w:t>(1)</w:t>
      </w:r>
      <w:r>
        <w:rPr>
          <w:rFonts w:hint="eastAsia"/>
        </w:rPr>
        <w:t>初报：事发企事业单位概况；发生时间、地点及现场情况；影响人员、污染面积、放射源或射线装置信息；事故发生的初步原因、初判等级；已经采取的处置措施、事故控制情况及现场负责人姓名、职务和联系方式；拟采取的措施以及下一步工作建议等。</w:t>
      </w:r>
    </w:p>
    <w:p w:rsidR="00C82363" w:rsidRDefault="00C82363" w:rsidP="00AA1EE7">
      <w:pPr>
        <w:pStyle w:val="bd243d13-394e-4bd9-99c9-3a29947aa2a1"/>
        <w:ind w:leftChars="0" w:firstLine="31680"/>
      </w:pPr>
      <w:r>
        <w:t>(2)</w:t>
      </w:r>
      <w:r>
        <w:rPr>
          <w:rFonts w:hint="eastAsia"/>
        </w:rPr>
        <w:t>续报：对首报要素不齐全或事故衍生出新情况、处置工作有新进展的，要及时续报，每天不少于</w:t>
      </w:r>
      <w:r>
        <w:t>1</w:t>
      </w:r>
      <w:r>
        <w:rPr>
          <w:rFonts w:hint="eastAsia"/>
        </w:rPr>
        <w:t>次。在初报基础上，报告有关监测数据、发生原因、过程、进展情况、趋势分析、危害程度以及采取的措施、效果等情况，并附应急监测快报、监测点位分布图、污染分布及变化趋势图等资料。</w:t>
      </w:r>
    </w:p>
    <w:p w:rsidR="00C82363" w:rsidRDefault="00C82363" w:rsidP="00AA1EE7">
      <w:pPr>
        <w:pStyle w:val="bd243d13-394e-4bd9-99c9-3a29947aa2a1"/>
        <w:ind w:leftChars="0" w:firstLine="31680"/>
      </w:pPr>
      <w:r>
        <w:t>(3)</w:t>
      </w:r>
      <w:r>
        <w:rPr>
          <w:rFonts w:hint="eastAsia"/>
        </w:rPr>
        <w:t>总结报告：应急处置工作结束后要及时终报，包括处置措施、过程、结果，潜在或间接危害及损失、社会影响、处理后的遗留问题等。</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3.4.5</w:t>
        </w:r>
      </w:smartTag>
      <w:r>
        <w:rPr>
          <w:rFonts w:hint="eastAsia"/>
        </w:rPr>
        <w:t>信息通报</w:t>
      </w:r>
    </w:p>
    <w:p w:rsidR="00C82363" w:rsidRDefault="00C82363" w:rsidP="00AA1EE7">
      <w:pPr>
        <w:pStyle w:val="bd243d13-394e-4bd9-99c9-3a29947aa2a1"/>
        <w:ind w:leftChars="0" w:firstLine="31680"/>
      </w:pPr>
      <w:r>
        <w:rPr>
          <w:rFonts w:hint="eastAsia"/>
        </w:rPr>
        <w:t>发生辐射事故后，区生态环境局应当及时通报区级有关部门。因生产安全事故、交通事故、自然灾害等其他因素可能引发辐射事故的，有关部门和单位应当及时向区生态环境局通报。</w:t>
      </w:r>
    </w:p>
    <w:p w:rsidR="00C82363" w:rsidRDefault="00C82363" w:rsidP="00AA1EE7">
      <w:pPr>
        <w:pStyle w:val="72c23eac-05e5-485a-9b67-1c7dbe1944ac"/>
        <w:numPr>
          <w:ilvl w:val="0"/>
          <w:numId w:val="0"/>
        </w:numPr>
        <w:ind w:firstLineChars="200" w:firstLine="31680"/>
      </w:pPr>
      <w:bookmarkStart w:id="16" w:name="_Toc4119"/>
      <w:r>
        <w:t>4</w:t>
      </w:r>
      <w:r>
        <w:rPr>
          <w:rFonts w:hint="eastAsia"/>
        </w:rPr>
        <w:t>应急响应</w:t>
      </w:r>
      <w:bookmarkEnd w:id="16"/>
    </w:p>
    <w:p w:rsidR="00C82363" w:rsidRDefault="00C82363" w:rsidP="00AA1EE7">
      <w:pPr>
        <w:pStyle w:val="433e907c-22c4-47aa-a0e2-5f03f9a2dc40"/>
        <w:numPr>
          <w:ilvl w:val="0"/>
          <w:numId w:val="0"/>
        </w:numPr>
        <w:ind w:firstLineChars="200" w:firstLine="31680"/>
      </w:pPr>
      <w:bookmarkStart w:id="17" w:name="_Toc23786"/>
      <w:r>
        <w:t>4.1</w:t>
      </w:r>
      <w:r>
        <w:rPr>
          <w:rFonts w:hint="eastAsia"/>
        </w:rPr>
        <w:t>分级响应</w:t>
      </w:r>
      <w:bookmarkEnd w:id="17"/>
    </w:p>
    <w:p w:rsidR="00C82363" w:rsidRDefault="00C82363" w:rsidP="00AA1EE7">
      <w:pPr>
        <w:pStyle w:val="bd243d13-394e-4bd9-99c9-3a29947aa2a1"/>
        <w:ind w:leftChars="0" w:firstLine="31680"/>
      </w:pPr>
      <w:r>
        <w:rPr>
          <w:rFonts w:hint="eastAsia"/>
        </w:rPr>
        <w:t>辐射事故应急响应等级分为</w:t>
      </w:r>
      <w:r>
        <w:t>I</w:t>
      </w:r>
      <w:r>
        <w:rPr>
          <w:rFonts w:hint="eastAsia"/>
        </w:rPr>
        <w:t>级、Ⅱ级、Ⅲ级、Ⅳ级。初判为特别重大、重大辐射事故，分别启动</w:t>
      </w:r>
      <w:r>
        <w:t>I</w:t>
      </w:r>
      <w:r>
        <w:rPr>
          <w:rFonts w:hint="eastAsia"/>
        </w:rPr>
        <w:t>级、Ⅱ级应急响应，配合市政府开展应对工作。初判为较大、一般辐射事故，分别启动Ⅲ级、Ⅳ级应急响应，由区政府负责应对工作，必要时可请求市生态环境局等市政府有关部门派出技术支援力量协助处置。</w:t>
      </w:r>
    </w:p>
    <w:p w:rsidR="00C82363" w:rsidRDefault="00C82363" w:rsidP="00AA1EE7">
      <w:pPr>
        <w:pStyle w:val="bd243d13-394e-4bd9-99c9-3a29947aa2a1"/>
        <w:ind w:leftChars="0" w:firstLine="31680"/>
      </w:pPr>
      <w:r>
        <w:rPr>
          <w:rFonts w:hint="eastAsia"/>
        </w:rPr>
        <w:t>应急响应启动后，应当根据事故发展态势适时调整响应级别，避免响应不足或响应过度。重大会议、活动期间，敏感时期和敏感区域发生辐射事故时可向上调整响应级别。随着事态发展，需向国务院、驻渝部队请求支援时，由市政府协调。</w:t>
      </w:r>
    </w:p>
    <w:p w:rsidR="00C82363" w:rsidRDefault="00C82363" w:rsidP="00AA1EE7">
      <w:pPr>
        <w:pStyle w:val="433e907c-22c4-47aa-a0e2-5f03f9a2dc40"/>
        <w:numPr>
          <w:ilvl w:val="0"/>
          <w:numId w:val="0"/>
        </w:numPr>
        <w:ind w:firstLineChars="200" w:firstLine="31680"/>
      </w:pPr>
      <w:bookmarkStart w:id="18" w:name="_Toc17627"/>
      <w:r>
        <w:t>4.2</w:t>
      </w:r>
      <w:r>
        <w:rPr>
          <w:rFonts w:hint="eastAsia"/>
        </w:rPr>
        <w:t>响应措施</w:t>
      </w:r>
      <w:bookmarkEnd w:id="18"/>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4.2.1</w:t>
        </w:r>
      </w:smartTag>
      <w:r>
        <w:rPr>
          <w:rFonts w:hint="eastAsia"/>
        </w:rPr>
        <w:t>先期处置</w:t>
      </w:r>
    </w:p>
    <w:p w:rsidR="00C82363" w:rsidRDefault="00C82363" w:rsidP="00AA1EE7">
      <w:pPr>
        <w:pStyle w:val="bd243d13-394e-4bd9-99c9-3a29947aa2a1"/>
        <w:ind w:leftChars="0" w:firstLine="31680"/>
      </w:pPr>
      <w:r>
        <w:rPr>
          <w:rFonts w:hint="eastAsia"/>
        </w:rPr>
        <w:t>辐射事故发生后，事发企事业单位应当立即开展先期处置，关闭或隔离辐射源、划定警戒区、对伤员进行必要医疗救护，采取有效措施全力控制事态发展，最大限度避免人员伤亡。区政府接到事故信息后，应立即对有关部门和单位已经开展的先期处置进行指挥、协调，紧急疏散周边人员，对事故现场进行警戒，在确保救援人员安全的前提下采取有效措施，控制或切断放射性污染蔓延的途径，全力控制事态发展，减少和消除污染。</w:t>
      </w:r>
    </w:p>
    <w:p w:rsidR="00C82363" w:rsidRDefault="00C82363" w:rsidP="00AA1EE7">
      <w:pPr>
        <w:pStyle w:val="0d7c9686-6cc7-4172-bf19-7b8f5cff8c60"/>
        <w:numPr>
          <w:ilvl w:val="0"/>
          <w:numId w:val="0"/>
        </w:numPr>
        <w:ind w:firstLineChars="200" w:firstLine="31680"/>
      </w:pPr>
      <w:smartTag w:uri="urn:schemas-microsoft-com:office:smarttags" w:element="chsdate">
        <w:smartTagPr>
          <w:attr w:name="IsROCDate" w:val="False"/>
          <w:attr w:name="IsLunarDate" w:val="False"/>
          <w:attr w:name="Day" w:val="30"/>
          <w:attr w:name="Month" w:val="12"/>
          <w:attr w:name="Year" w:val="1899"/>
        </w:smartTagPr>
        <w:r>
          <w:t>4.2.2</w:t>
        </w:r>
      </w:smartTag>
      <w:r>
        <w:rPr>
          <w:rFonts w:hint="eastAsia"/>
        </w:rPr>
        <w:t>处置措施</w:t>
      </w:r>
    </w:p>
    <w:p w:rsidR="00C82363" w:rsidRDefault="00C82363" w:rsidP="00AA1EE7">
      <w:pPr>
        <w:pStyle w:val="bd243d13-394e-4bd9-99c9-3a29947aa2a1"/>
        <w:ind w:leftChars="0" w:firstLine="31680"/>
      </w:pPr>
      <w:r>
        <w:rPr>
          <w:rFonts w:hint="eastAsia"/>
        </w:rPr>
        <w:t>区政府、区级有关部门和单位根据工作需要和事故诱因及发展态势，可采取以下处置措施：</w:t>
      </w:r>
    </w:p>
    <w:p w:rsidR="00C82363" w:rsidRDefault="00C82363" w:rsidP="00AA1EE7">
      <w:pPr>
        <w:pStyle w:val="bd243d13-394e-4bd9-99c9-3a29947aa2a1"/>
        <w:ind w:leftChars="0" w:firstLine="31680"/>
      </w:pPr>
      <w:r>
        <w:t>(1)</w:t>
      </w:r>
      <w:r>
        <w:rPr>
          <w:rFonts w:hint="eastAsia"/>
        </w:rPr>
        <w:t>应急监测。区生态环境局在发生辐射事故后，应立即赶赴现场，协助事发企事业单位划定安全区域，制定监测方案，提供监测数据，为辐射事故应急决策提供依据。</w:t>
      </w:r>
    </w:p>
    <w:p w:rsidR="00C82363" w:rsidRDefault="00C82363" w:rsidP="00AA1EE7">
      <w:pPr>
        <w:pStyle w:val="bd243d13-394e-4bd9-99c9-3a29947aa2a1"/>
        <w:ind w:leftChars="0" w:firstLine="31680"/>
      </w:pPr>
      <w:r>
        <w:t>(2)</w:t>
      </w:r>
      <w:r>
        <w:rPr>
          <w:rFonts w:hint="eastAsia"/>
        </w:rPr>
        <w:t>人员搜救。搜救遇险人员，转运安置获救人员和伤员，同时避免造成次生伤害。</w:t>
      </w:r>
    </w:p>
    <w:p w:rsidR="00C82363" w:rsidRDefault="00C82363" w:rsidP="00AA1EE7">
      <w:pPr>
        <w:pStyle w:val="bd243d13-394e-4bd9-99c9-3a29947aa2a1"/>
        <w:ind w:leftChars="0" w:firstLine="31680"/>
      </w:pPr>
      <w:r>
        <w:t>(3)</w:t>
      </w:r>
      <w:r>
        <w:rPr>
          <w:rFonts w:hint="eastAsia"/>
        </w:rPr>
        <w:t>隔离疏散。根据事发地及影响区域的气象、地理环境和人员密集度等情况，设立现场警戒区、交通管制区和重点防护区；确定受威胁人员疏散方式和途径，有组织、有秩序地及时疏散转移受威胁人员和可能受影响地区的居民，并妥善做好转移人员安置工作。</w:t>
      </w:r>
    </w:p>
    <w:p w:rsidR="00C82363" w:rsidRDefault="00C82363" w:rsidP="00AA1EE7">
      <w:pPr>
        <w:pStyle w:val="bd243d13-394e-4bd9-99c9-3a29947aa2a1"/>
        <w:ind w:leftChars="0" w:firstLine="31680"/>
      </w:pPr>
      <w:r>
        <w:t>(4)</w:t>
      </w:r>
      <w:r>
        <w:rPr>
          <w:rFonts w:hint="eastAsia"/>
        </w:rPr>
        <w:t>医学救援。由区卫生健康委牵头，迅速组织医疗资源和力量，对伤病人员进行现场救护，根据伤病人员放射损伤程度，送到相应医疗机构治疗；开展受污染人员的去污洗消工作；根据辐射事故的性质、特点，告知群众应采取的安全防护措施，指导公众做好个人防护；视情增派医疗专家、调配急需医药。必要时，组织开展公众心理干预和健康教育。</w:t>
      </w:r>
    </w:p>
    <w:p w:rsidR="00C82363" w:rsidRDefault="00C82363" w:rsidP="00AA1EE7">
      <w:pPr>
        <w:pStyle w:val="bd243d13-394e-4bd9-99c9-3a29947aa2a1"/>
        <w:ind w:leftChars="0" w:firstLine="31680"/>
      </w:pPr>
      <w:r>
        <w:t>(5)</w:t>
      </w:r>
      <w:r>
        <w:rPr>
          <w:rFonts w:hint="eastAsia"/>
        </w:rPr>
        <w:t>危害控制。由区生态环境局调集人员、设备，及时到达现场开展应急处置，在确保救援人员安全的前提下采取有效措施控制危险源，防止事故扩大；放射源丢失、被盗事故以及由其他因素引发的次生辐射事故，有关部门和单位要会同区生态环境局，迅速组织救援力量进行处置。</w:t>
      </w:r>
    </w:p>
    <w:p w:rsidR="00C82363" w:rsidRDefault="00C82363" w:rsidP="00AA1EE7">
      <w:pPr>
        <w:pStyle w:val="bd243d13-394e-4bd9-99c9-3a29947aa2a1"/>
        <w:ind w:leftChars="0" w:firstLine="31680"/>
      </w:pPr>
      <w:r>
        <w:t>(6)</w:t>
      </w:r>
      <w:r>
        <w:rPr>
          <w:rFonts w:hint="eastAsia"/>
        </w:rPr>
        <w:t>舆论引导。由区委网信办牵头，区委宣传部、区应急局、区生态环境局等部门配合，通过电视、广播、报纸、网络等途径，运用微博、微信、移动客户端等新媒体平台，主动、及时、准确向社会发布事故信息和应对情况，回应社会关切，澄清不实信息，做好政策解答，正确引导社会舆论。</w:t>
      </w:r>
    </w:p>
    <w:p w:rsidR="00C82363" w:rsidRDefault="00C82363" w:rsidP="00AA1EE7">
      <w:pPr>
        <w:pStyle w:val="bd243d13-394e-4bd9-99c9-3a29947aa2a1"/>
        <w:ind w:leftChars="0" w:firstLine="31680"/>
      </w:pPr>
      <w:r>
        <w:t>(7)</w:t>
      </w:r>
      <w:r>
        <w:rPr>
          <w:rFonts w:hint="eastAsia"/>
        </w:rPr>
        <w:t>维护稳定。区公安分局牵头，加强受影响区域社会治安管理，依法严厉打击借机传播谣言制造社会恐慌、哄抢救灾物资和生活必需品等违法犯罪行为；加强转移人员安置点、救灾物资存放点等重点区域治安管控；做好矛盾纠纷化解和法律服务工作，积极预防并妥善处置化解群体性事件，维护社会稳定。</w:t>
      </w:r>
    </w:p>
    <w:p w:rsidR="00C82363" w:rsidRDefault="00C82363" w:rsidP="00AA1EE7">
      <w:pPr>
        <w:pStyle w:val="bd243d13-394e-4bd9-99c9-3a29947aa2a1"/>
        <w:ind w:leftChars="0" w:firstLine="31680"/>
      </w:pPr>
      <w:r>
        <w:t>(8)</w:t>
      </w:r>
      <w:r>
        <w:rPr>
          <w:rFonts w:hint="eastAsia"/>
        </w:rPr>
        <w:t>安全防护。现场应急工作人员应根据不同类型辐射事故的特点，佩戴相应的专业防护装备，采取安全防护措施。区生态环境局负责现场公众的安全防护工作。</w:t>
      </w:r>
    </w:p>
    <w:p w:rsidR="00C82363" w:rsidRDefault="00C82363" w:rsidP="00AA1EE7">
      <w:pPr>
        <w:pStyle w:val="433e907c-22c4-47aa-a0e2-5f03f9a2dc40"/>
        <w:numPr>
          <w:ilvl w:val="0"/>
          <w:numId w:val="0"/>
        </w:numPr>
        <w:ind w:firstLineChars="200" w:firstLine="31680"/>
      </w:pPr>
      <w:bookmarkStart w:id="19" w:name="_Toc31609"/>
      <w:r>
        <w:t>4.3</w:t>
      </w:r>
      <w:r>
        <w:rPr>
          <w:rFonts w:hint="eastAsia"/>
        </w:rPr>
        <w:t>响应终止</w:t>
      </w:r>
      <w:bookmarkEnd w:id="19"/>
    </w:p>
    <w:p w:rsidR="00C82363" w:rsidRDefault="00C82363" w:rsidP="00AA1EE7">
      <w:pPr>
        <w:pStyle w:val="0d7c9686-6cc7-4172-bf19-7b8f5cff8c60"/>
        <w:numPr>
          <w:ilvl w:val="0"/>
          <w:numId w:val="0"/>
        </w:numPr>
        <w:ind w:firstLineChars="200" w:firstLine="31680"/>
      </w:pPr>
      <w:r>
        <w:t>4.3.1</w:t>
      </w:r>
      <w:r>
        <w:rPr>
          <w:rFonts w:hint="eastAsia"/>
        </w:rPr>
        <w:t>响应终止条件</w:t>
      </w:r>
    </w:p>
    <w:p w:rsidR="00C82363" w:rsidRDefault="00C82363" w:rsidP="00AA1EE7">
      <w:pPr>
        <w:pStyle w:val="bd243d13-394e-4bd9-99c9-3a29947aa2a1"/>
        <w:ind w:leftChars="0" w:firstLine="31680"/>
      </w:pPr>
      <w:r>
        <w:rPr>
          <w:rFonts w:hint="eastAsia"/>
        </w:rPr>
        <w:t>终止应急响应应同时符合下列条件：</w:t>
      </w:r>
    </w:p>
    <w:p w:rsidR="00C82363" w:rsidRDefault="00C82363" w:rsidP="00AA1EE7">
      <w:pPr>
        <w:pStyle w:val="bd243d13-394e-4bd9-99c9-3a29947aa2a1"/>
        <w:ind w:leftChars="0" w:firstLine="31680"/>
      </w:pPr>
      <w:r>
        <w:t>(1)</w:t>
      </w:r>
      <w:r>
        <w:rPr>
          <w:rFonts w:hint="eastAsia"/>
        </w:rPr>
        <w:t>事故所造成的危害已经被彻底消除或控制；</w:t>
      </w:r>
    </w:p>
    <w:p w:rsidR="00C82363" w:rsidRDefault="00C82363" w:rsidP="00AA1EE7">
      <w:pPr>
        <w:pStyle w:val="bd243d13-394e-4bd9-99c9-3a29947aa2a1"/>
        <w:ind w:leftChars="0" w:firstLine="31680"/>
      </w:pPr>
      <w:r>
        <w:t>(2)</w:t>
      </w:r>
      <w:r>
        <w:rPr>
          <w:rFonts w:hint="eastAsia"/>
        </w:rPr>
        <w:t>辐射污染源的泄漏或释放已降至规定限值以内；</w:t>
      </w:r>
    </w:p>
    <w:p w:rsidR="00C82363" w:rsidRDefault="00C82363" w:rsidP="00AA1EE7">
      <w:pPr>
        <w:pStyle w:val="bd243d13-394e-4bd9-99c9-3a29947aa2a1"/>
        <w:ind w:leftChars="0" w:firstLine="31680"/>
      </w:pPr>
      <w:r>
        <w:t>(3)</w:t>
      </w:r>
      <w:r>
        <w:rPr>
          <w:rFonts w:hint="eastAsia"/>
        </w:rPr>
        <w:t>事故现场的各种专业应急处置行动已无继续的必要。</w:t>
      </w:r>
    </w:p>
    <w:p w:rsidR="00C82363" w:rsidRDefault="00C82363" w:rsidP="00AA1EE7">
      <w:pPr>
        <w:pStyle w:val="0d7c9686-6cc7-4172-bf19-7b8f5cff8c60"/>
        <w:numPr>
          <w:ilvl w:val="0"/>
          <w:numId w:val="0"/>
        </w:numPr>
        <w:ind w:firstLineChars="200" w:firstLine="31680"/>
      </w:pPr>
      <w:r>
        <w:t>4.3.2</w:t>
      </w:r>
      <w:r>
        <w:rPr>
          <w:rFonts w:hint="eastAsia"/>
        </w:rPr>
        <w:t>响应终止程序</w:t>
      </w:r>
    </w:p>
    <w:p w:rsidR="00C82363" w:rsidRDefault="00C82363" w:rsidP="00AA1EE7">
      <w:pPr>
        <w:pStyle w:val="bd243d13-394e-4bd9-99c9-3a29947aa2a1"/>
        <w:ind w:leftChars="0" w:firstLine="31680"/>
      </w:pPr>
      <w:r>
        <w:rPr>
          <w:rFonts w:hint="eastAsia"/>
        </w:rPr>
        <w:t>当特别重大、重大辐射事故达到响应终止条件时，由市政府批准响应终止；当较大、一般辐射事故达到响应终止条件时，综合协调组结合专家组意见提出响应终止的建议，经指挥长审批同意后报请区政府批准。响应终止建议获批后，综合协调组向其他工作组发布响应终止指令。</w:t>
      </w:r>
    </w:p>
    <w:p w:rsidR="00C82363" w:rsidRDefault="00C82363" w:rsidP="00AA1EE7">
      <w:pPr>
        <w:pStyle w:val="72c23eac-05e5-485a-9b67-1c7dbe1944ac"/>
        <w:numPr>
          <w:ilvl w:val="0"/>
          <w:numId w:val="0"/>
        </w:numPr>
        <w:ind w:firstLineChars="200" w:firstLine="31680"/>
      </w:pPr>
      <w:bookmarkStart w:id="20" w:name="_Toc16190"/>
      <w:r>
        <w:t>5</w:t>
      </w:r>
      <w:r>
        <w:rPr>
          <w:rFonts w:hint="eastAsia"/>
        </w:rPr>
        <w:t>后期处置</w:t>
      </w:r>
      <w:bookmarkEnd w:id="20"/>
    </w:p>
    <w:p w:rsidR="00C82363" w:rsidRDefault="00C82363" w:rsidP="00AA1EE7">
      <w:pPr>
        <w:pStyle w:val="433e907c-22c4-47aa-a0e2-5f03f9a2dc40"/>
        <w:numPr>
          <w:ilvl w:val="0"/>
          <w:numId w:val="0"/>
        </w:numPr>
        <w:ind w:firstLineChars="200" w:firstLine="31680"/>
      </w:pPr>
      <w:bookmarkStart w:id="21" w:name="_Toc25664"/>
      <w:r>
        <w:t>5.1</w:t>
      </w:r>
      <w:r>
        <w:rPr>
          <w:rFonts w:hint="eastAsia"/>
        </w:rPr>
        <w:t>善后处置</w:t>
      </w:r>
      <w:bookmarkEnd w:id="21"/>
    </w:p>
    <w:p w:rsidR="00C82363" w:rsidRDefault="00C82363" w:rsidP="00AA1EE7">
      <w:pPr>
        <w:pStyle w:val="bd243d13-394e-4bd9-99c9-3a29947aa2a1"/>
        <w:ind w:leftChars="0" w:firstLine="31680"/>
      </w:pPr>
      <w:r>
        <w:rPr>
          <w:rFonts w:hint="eastAsia"/>
        </w:rPr>
        <w:t>善后工作由区政府牵头及时开展，区生态环境局、区农业农村委、区卫生健康委、区民政局、区人力社保局、区医保局、区林业局等相关部门积极参与，恢复正常生产生活秩序。</w:t>
      </w:r>
    </w:p>
    <w:p w:rsidR="00C82363" w:rsidRDefault="00C82363" w:rsidP="00AA1EE7">
      <w:pPr>
        <w:pStyle w:val="bd243d13-394e-4bd9-99c9-3a29947aa2a1"/>
        <w:ind w:leftChars="0" w:firstLine="31680"/>
      </w:pPr>
      <w:r>
        <w:t>(1)</w:t>
      </w:r>
      <w:r>
        <w:rPr>
          <w:rFonts w:hint="eastAsia"/>
        </w:rPr>
        <w:t>对受伤人员进行医疗救治，对死亡人员做好善后工作，对伤亡人员家属进行精神安抚；并按规定给予抚恤。</w:t>
      </w:r>
    </w:p>
    <w:p w:rsidR="00C82363" w:rsidRDefault="00C82363" w:rsidP="00AA1EE7">
      <w:pPr>
        <w:pStyle w:val="bd243d13-394e-4bd9-99c9-3a29947aa2a1"/>
        <w:ind w:leftChars="0" w:firstLine="31680"/>
      </w:pPr>
      <w:r>
        <w:t>(2)</w:t>
      </w:r>
      <w:r>
        <w:rPr>
          <w:rFonts w:hint="eastAsia"/>
        </w:rPr>
        <w:t>有关保险机构及时进行现场查勘和理赔工作。</w:t>
      </w:r>
    </w:p>
    <w:p w:rsidR="00C82363" w:rsidRDefault="00C82363" w:rsidP="00AA1EE7">
      <w:pPr>
        <w:pStyle w:val="bd243d13-394e-4bd9-99c9-3a29947aa2a1"/>
        <w:ind w:leftChars="0" w:firstLine="31680"/>
      </w:pPr>
      <w:r>
        <w:t>(3)</w:t>
      </w:r>
      <w:r>
        <w:rPr>
          <w:rFonts w:hint="eastAsia"/>
        </w:rPr>
        <w:t>对受污染、破坏的生态环境予以恢复。</w:t>
      </w:r>
    </w:p>
    <w:p w:rsidR="00C82363" w:rsidRDefault="00C82363" w:rsidP="00AA1EE7">
      <w:pPr>
        <w:pStyle w:val="433e907c-22c4-47aa-a0e2-5f03f9a2dc40"/>
        <w:numPr>
          <w:ilvl w:val="0"/>
          <w:numId w:val="0"/>
        </w:numPr>
        <w:ind w:firstLineChars="200" w:firstLine="31680"/>
      </w:pPr>
      <w:bookmarkStart w:id="22" w:name="_Toc28347"/>
      <w:r>
        <w:t>5.2</w:t>
      </w:r>
      <w:r>
        <w:rPr>
          <w:rFonts w:hint="eastAsia"/>
        </w:rPr>
        <w:t>事故调查</w:t>
      </w:r>
      <w:bookmarkEnd w:id="22"/>
    </w:p>
    <w:p w:rsidR="00C82363" w:rsidRDefault="00C82363" w:rsidP="00AA1EE7">
      <w:pPr>
        <w:pStyle w:val="bd243d13-394e-4bd9-99c9-3a29947aa2a1"/>
        <w:ind w:leftChars="0" w:firstLine="31680"/>
      </w:pPr>
      <w:r>
        <w:rPr>
          <w:rFonts w:hint="eastAsia"/>
        </w:rPr>
        <w:t>根据有关规定成立事故调查组，客观、公正、准确地查明事故原因、性质、影响范围、经济损失等情况，确定事故责任，提出处理建议和防范整改措施，形成调查报告。</w:t>
      </w:r>
    </w:p>
    <w:p w:rsidR="00C82363" w:rsidRDefault="00C82363" w:rsidP="00AA1EE7">
      <w:pPr>
        <w:pStyle w:val="bd243d13-394e-4bd9-99c9-3a29947aa2a1"/>
        <w:ind w:leftChars="0" w:firstLine="31680"/>
      </w:pPr>
      <w:r>
        <w:rPr>
          <w:rFonts w:hint="eastAsia"/>
        </w:rPr>
        <w:t>一般、较大事故，由调查评估组组织调查，调查结果报区政府，必要时可由市政府指定有关部门直接组织调查；重大事故，由市政府成立事故调查小组进行调查；发生特别重大事故，由国务院调查组进行调查，市政府有关部门配合。</w:t>
      </w:r>
    </w:p>
    <w:p w:rsidR="00C82363" w:rsidRDefault="00C82363" w:rsidP="00AA1EE7">
      <w:pPr>
        <w:pStyle w:val="433e907c-22c4-47aa-a0e2-5f03f9a2dc40"/>
        <w:numPr>
          <w:ilvl w:val="0"/>
          <w:numId w:val="0"/>
        </w:numPr>
        <w:ind w:firstLineChars="200" w:firstLine="31680"/>
      </w:pPr>
      <w:bookmarkStart w:id="23" w:name="_Toc17272"/>
      <w:r>
        <w:t>5.3</w:t>
      </w:r>
      <w:r>
        <w:rPr>
          <w:rFonts w:hint="eastAsia"/>
        </w:rPr>
        <w:t>总结评估</w:t>
      </w:r>
      <w:bookmarkEnd w:id="23"/>
    </w:p>
    <w:p w:rsidR="00C82363" w:rsidRDefault="00C82363" w:rsidP="00AA1EE7">
      <w:pPr>
        <w:pStyle w:val="bd243d13-394e-4bd9-99c9-3a29947aa2a1"/>
        <w:ind w:leftChars="0" w:firstLine="31680"/>
      </w:pPr>
      <w:r>
        <w:rPr>
          <w:rFonts w:hint="eastAsia"/>
        </w:rPr>
        <w:t>应急处置结束后，区生态环境局要及时对事故应急处置进行评估，总结经验，分析查找问题，提出改进措施，形成总结评估报告。一般、较大辐射事故向区政府提交报告；重大、特别重大辐射事故按相关规定上报。评估结论作为事故调查处理、损害赔偿和环境修复的重要依据。</w:t>
      </w:r>
    </w:p>
    <w:p w:rsidR="00C82363" w:rsidRDefault="00C82363" w:rsidP="00AA1EE7">
      <w:pPr>
        <w:pStyle w:val="72c23eac-05e5-485a-9b67-1c7dbe1944ac"/>
        <w:numPr>
          <w:ilvl w:val="0"/>
          <w:numId w:val="0"/>
        </w:numPr>
        <w:ind w:firstLineChars="200" w:firstLine="31680"/>
      </w:pPr>
      <w:bookmarkStart w:id="24" w:name="_Toc1702"/>
      <w:r>
        <w:t>6</w:t>
      </w:r>
      <w:r>
        <w:rPr>
          <w:rFonts w:hint="eastAsia"/>
        </w:rPr>
        <w:t>应急保障</w:t>
      </w:r>
      <w:bookmarkEnd w:id="24"/>
    </w:p>
    <w:p w:rsidR="00C82363" w:rsidRDefault="00C82363" w:rsidP="00AA1EE7">
      <w:pPr>
        <w:pStyle w:val="433e907c-22c4-47aa-a0e2-5f03f9a2dc40"/>
        <w:numPr>
          <w:ilvl w:val="0"/>
          <w:numId w:val="0"/>
        </w:numPr>
        <w:ind w:firstLineChars="200" w:firstLine="31680"/>
      </w:pPr>
      <w:bookmarkStart w:id="25" w:name="_Toc24352"/>
      <w:r>
        <w:t>6.1</w:t>
      </w:r>
      <w:r>
        <w:rPr>
          <w:rFonts w:hint="eastAsia"/>
        </w:rPr>
        <w:t>队伍保障</w:t>
      </w:r>
      <w:bookmarkEnd w:id="25"/>
    </w:p>
    <w:p w:rsidR="00C82363" w:rsidRDefault="00C82363" w:rsidP="00AA1EE7">
      <w:pPr>
        <w:pStyle w:val="bd243d13-394e-4bd9-99c9-3a29947aa2a1"/>
        <w:ind w:leftChars="0" w:firstLine="31680"/>
      </w:pPr>
      <w:r>
        <w:rPr>
          <w:rFonts w:hint="eastAsia"/>
        </w:rPr>
        <w:t>区生态环境局负责全区辐射事故抢险救援队伍业务指导，并牵头建立辐射事故抢险救援专家库，为辐射事故应急处置提供决策建议。区政府、区级有关部门和单位要加强辐射事故应急救援专业或兼职队伍建设，加强日常训练和演练，提高应急响应和处置能力。</w:t>
      </w:r>
    </w:p>
    <w:p w:rsidR="00C82363" w:rsidRDefault="00C82363" w:rsidP="00AA1EE7">
      <w:pPr>
        <w:pStyle w:val="433e907c-22c4-47aa-a0e2-5f03f9a2dc40"/>
        <w:numPr>
          <w:ilvl w:val="0"/>
          <w:numId w:val="0"/>
        </w:numPr>
        <w:ind w:firstLineChars="200" w:firstLine="31680"/>
      </w:pPr>
      <w:bookmarkStart w:id="26" w:name="_Toc32019"/>
      <w:r>
        <w:t>6.2</w:t>
      </w:r>
      <w:r>
        <w:rPr>
          <w:rFonts w:hint="eastAsia"/>
        </w:rPr>
        <w:t>物资和装备保障</w:t>
      </w:r>
      <w:bookmarkEnd w:id="26"/>
    </w:p>
    <w:p w:rsidR="00C82363" w:rsidRDefault="00C82363" w:rsidP="00AA1EE7">
      <w:pPr>
        <w:pStyle w:val="bd243d13-394e-4bd9-99c9-3a29947aa2a1"/>
        <w:ind w:leftChars="0" w:firstLine="31680"/>
      </w:pPr>
      <w:r>
        <w:rPr>
          <w:rFonts w:hint="eastAsia"/>
        </w:rPr>
        <w:t>从事核技术利用，放射性废物处理、贮存和处置，放射性物品运输，铀（钍）矿开发利用等的企事业单位、负责应急救援的有关单位要建立应急物资和装备信息库，明确物资装备的类型、数量、性能、存放位置等，建立健全应急物资装备维护、保养、调用等制度，保证应急救援工作需要。区生态环境局要将辐射事故应急物资储备统筹纳入环保应急物资库建设，及时予以补充和更新。鼓励支持社会化储备应急物资。</w:t>
      </w:r>
    </w:p>
    <w:p w:rsidR="00C82363" w:rsidRDefault="00C82363" w:rsidP="00AA1EE7">
      <w:pPr>
        <w:pStyle w:val="433e907c-22c4-47aa-a0e2-5f03f9a2dc40"/>
        <w:numPr>
          <w:ilvl w:val="0"/>
          <w:numId w:val="0"/>
        </w:numPr>
        <w:ind w:firstLineChars="200" w:firstLine="31680"/>
      </w:pPr>
      <w:bookmarkStart w:id="27" w:name="_Toc17603"/>
      <w:r>
        <w:t>6.3</w:t>
      </w:r>
      <w:r>
        <w:rPr>
          <w:rFonts w:hint="eastAsia"/>
        </w:rPr>
        <w:t>通信保障</w:t>
      </w:r>
      <w:bookmarkEnd w:id="27"/>
    </w:p>
    <w:p w:rsidR="00C82363" w:rsidRDefault="00C82363" w:rsidP="00AA1EE7">
      <w:pPr>
        <w:pStyle w:val="bd243d13-394e-4bd9-99c9-3a29947aa2a1"/>
        <w:ind w:leftChars="0" w:firstLine="31680"/>
      </w:pPr>
      <w:r>
        <w:rPr>
          <w:rFonts w:hint="eastAsia"/>
        </w:rPr>
        <w:t>区大数据局负责保障现场应急处置指挥部与各成员单位的通信联系，组织现场信息通信保障，保障现场应急处置指挥部与各相关部门和单位之间视频、音频和数据信息的实时传输。</w:t>
      </w:r>
    </w:p>
    <w:p w:rsidR="00C82363" w:rsidRDefault="00C82363" w:rsidP="00AA1EE7">
      <w:pPr>
        <w:pStyle w:val="433e907c-22c4-47aa-a0e2-5f03f9a2dc40"/>
        <w:numPr>
          <w:ilvl w:val="0"/>
          <w:numId w:val="0"/>
        </w:numPr>
        <w:ind w:firstLineChars="200" w:firstLine="31680"/>
      </w:pPr>
      <w:bookmarkStart w:id="28" w:name="_Toc521"/>
      <w:r>
        <w:t>6.4</w:t>
      </w:r>
      <w:r>
        <w:rPr>
          <w:rFonts w:hint="eastAsia"/>
        </w:rPr>
        <w:t>交通保障</w:t>
      </w:r>
      <w:bookmarkEnd w:id="28"/>
    </w:p>
    <w:p w:rsidR="00C82363" w:rsidRDefault="00C82363" w:rsidP="00AA1EE7">
      <w:pPr>
        <w:pStyle w:val="bd243d13-394e-4bd9-99c9-3a29947aa2a1"/>
        <w:ind w:leftChars="0" w:firstLine="31680"/>
      </w:pPr>
      <w:r>
        <w:rPr>
          <w:rFonts w:hint="eastAsia"/>
        </w:rPr>
        <w:t>交通、铁路、民航等部门要健全公路、水路、铁路和航空运输保障体系，保障人员、物资、装备、器材的运输。加强应急交通管理，保障应急救援队伍和物资运输交通工具优先通行。</w:t>
      </w:r>
    </w:p>
    <w:p w:rsidR="00C82363" w:rsidRDefault="00C82363" w:rsidP="00AA1EE7">
      <w:pPr>
        <w:pStyle w:val="433e907c-22c4-47aa-a0e2-5f03f9a2dc40"/>
        <w:numPr>
          <w:ilvl w:val="0"/>
          <w:numId w:val="0"/>
        </w:numPr>
        <w:ind w:firstLineChars="200" w:firstLine="31680"/>
      </w:pPr>
      <w:bookmarkStart w:id="29" w:name="_Toc25195"/>
      <w:r>
        <w:t>6.5</w:t>
      </w:r>
      <w:r>
        <w:rPr>
          <w:rFonts w:hint="eastAsia"/>
        </w:rPr>
        <w:t>技术保障</w:t>
      </w:r>
      <w:bookmarkEnd w:id="29"/>
    </w:p>
    <w:p w:rsidR="00C82363" w:rsidRDefault="00C82363" w:rsidP="00AA1EE7">
      <w:pPr>
        <w:pStyle w:val="bd243d13-394e-4bd9-99c9-3a29947aa2a1"/>
        <w:ind w:leftChars="0" w:firstLine="31680"/>
      </w:pPr>
      <w:r>
        <w:rPr>
          <w:rFonts w:hint="eastAsia"/>
        </w:rPr>
        <w:t>区生态环境局要鼓励有关单位大力推进先进技术、装备的研发和配备，充分发挥核与辐射应急监测调度平台作用，不断提高辐射事故预防预警和应急处置智能化、数字化和科学化水平。</w:t>
      </w:r>
    </w:p>
    <w:p w:rsidR="00C82363" w:rsidRDefault="00C82363" w:rsidP="00AA1EE7">
      <w:pPr>
        <w:pStyle w:val="433e907c-22c4-47aa-a0e2-5f03f9a2dc40"/>
        <w:numPr>
          <w:ilvl w:val="0"/>
          <w:numId w:val="0"/>
        </w:numPr>
        <w:ind w:firstLineChars="200" w:firstLine="31680"/>
      </w:pPr>
      <w:bookmarkStart w:id="30" w:name="_Toc14613"/>
      <w:r>
        <w:t>6.6</w:t>
      </w:r>
      <w:r>
        <w:rPr>
          <w:rFonts w:hint="eastAsia"/>
        </w:rPr>
        <w:t>资金保障</w:t>
      </w:r>
      <w:bookmarkEnd w:id="30"/>
    </w:p>
    <w:p w:rsidR="00C82363" w:rsidRDefault="00C82363" w:rsidP="00AA1EE7">
      <w:pPr>
        <w:pStyle w:val="bd243d13-394e-4bd9-99c9-3a29947aa2a1"/>
        <w:ind w:leftChars="0" w:firstLine="31680"/>
      </w:pPr>
      <w:r>
        <w:rPr>
          <w:rFonts w:hint="eastAsia"/>
        </w:rPr>
        <w:t>区财政局要保障辐射事故应对工作所需经费。辖区内从事核技术利用，放射性废物处理、贮存和处置，放射性物品运输，铀（钍）矿开发利用等的企事业单位要根据国家有关规定安排应急处置资金，确保应急处置资金需要。</w:t>
      </w:r>
    </w:p>
    <w:p w:rsidR="00C82363" w:rsidRDefault="00C82363" w:rsidP="00AA1EE7">
      <w:pPr>
        <w:pStyle w:val="72c23eac-05e5-485a-9b67-1c7dbe1944ac"/>
        <w:numPr>
          <w:ilvl w:val="0"/>
          <w:numId w:val="0"/>
        </w:numPr>
        <w:ind w:firstLineChars="200" w:firstLine="31680"/>
      </w:pPr>
      <w:bookmarkStart w:id="31" w:name="_Toc19543"/>
      <w:r>
        <w:t>7</w:t>
      </w:r>
      <w:r>
        <w:rPr>
          <w:rFonts w:hint="eastAsia"/>
        </w:rPr>
        <w:t>宣传、培训和演习</w:t>
      </w:r>
      <w:bookmarkEnd w:id="31"/>
    </w:p>
    <w:p w:rsidR="00C82363" w:rsidRDefault="00C82363" w:rsidP="00AA1EE7">
      <w:pPr>
        <w:pStyle w:val="433e907c-22c4-47aa-a0e2-5f03f9a2dc40"/>
        <w:numPr>
          <w:ilvl w:val="0"/>
          <w:numId w:val="0"/>
        </w:numPr>
        <w:ind w:firstLineChars="200" w:firstLine="31680"/>
      </w:pPr>
      <w:bookmarkStart w:id="32" w:name="_Toc4288"/>
      <w:r>
        <w:t>7.1</w:t>
      </w:r>
      <w:r>
        <w:rPr>
          <w:rFonts w:hint="eastAsia"/>
        </w:rPr>
        <w:t>宣传和培训</w:t>
      </w:r>
      <w:bookmarkEnd w:id="32"/>
    </w:p>
    <w:p w:rsidR="00C82363" w:rsidRDefault="00C82363" w:rsidP="00AA1EE7">
      <w:pPr>
        <w:pStyle w:val="bd243d13-394e-4bd9-99c9-3a29947aa2a1"/>
        <w:ind w:leftChars="0" w:firstLine="31680"/>
      </w:pPr>
      <w:r>
        <w:rPr>
          <w:rFonts w:hint="eastAsia"/>
        </w:rPr>
        <w:t>区政府、区级有关部门和单位应有计划、有针对性地开展辐射安全管理法律法规和辐射防护常识的宣传，督促有关企事业单位履行辐射安全教育和培训的法定义务，提高社会公众安全防范意识和能力。</w:t>
      </w:r>
    </w:p>
    <w:p w:rsidR="00C82363" w:rsidRDefault="00C82363" w:rsidP="00AA1EE7">
      <w:pPr>
        <w:pStyle w:val="433e907c-22c4-47aa-a0e2-5f03f9a2dc40"/>
        <w:numPr>
          <w:ilvl w:val="0"/>
          <w:numId w:val="0"/>
        </w:numPr>
        <w:ind w:firstLineChars="200" w:firstLine="31680"/>
      </w:pPr>
      <w:bookmarkStart w:id="33" w:name="_Toc15657"/>
      <w:r>
        <w:t>7.2</w:t>
      </w:r>
      <w:r>
        <w:rPr>
          <w:rFonts w:hint="eastAsia"/>
        </w:rPr>
        <w:t>培训和演习</w:t>
      </w:r>
      <w:bookmarkEnd w:id="33"/>
    </w:p>
    <w:p w:rsidR="00C82363" w:rsidRDefault="00C82363" w:rsidP="00AA1EE7">
      <w:pPr>
        <w:pStyle w:val="bd243d13-394e-4bd9-99c9-3a29947aa2a1"/>
        <w:ind w:leftChars="0" w:firstLine="31680"/>
      </w:pPr>
      <w:r>
        <w:rPr>
          <w:rFonts w:hint="eastAsia"/>
        </w:rPr>
        <w:t>区生态环境局和辖区内从事核技术利用，放射性废物处理、贮存和处置，放射性物品运输，铀（钍）矿开发利用等的企事业单位要根据本预案的要求，组织本部门、本行业、本单位人员开展应急业务培训和演习，熟悉应急处置程序，做好各项应急准备工作。</w:t>
      </w:r>
    </w:p>
    <w:p w:rsidR="00C82363" w:rsidRDefault="00C82363" w:rsidP="00AA1EE7">
      <w:pPr>
        <w:pStyle w:val="bd243d13-394e-4bd9-99c9-3a29947aa2a1"/>
        <w:ind w:leftChars="0" w:firstLine="31680"/>
      </w:pPr>
      <w:r>
        <w:rPr>
          <w:rFonts w:hint="eastAsia"/>
        </w:rPr>
        <w:t>每次演习均应有完整记录和总结报告，每次应急任务及演习任务完成后，有关部门应及时总结经验，根据应急任务和演习结果对应急计划和应急实施程序进行修改。</w:t>
      </w:r>
    </w:p>
    <w:p w:rsidR="00C82363" w:rsidRDefault="00C82363" w:rsidP="00AA1EE7">
      <w:pPr>
        <w:pStyle w:val="72c23eac-05e5-485a-9b67-1c7dbe1944ac"/>
        <w:numPr>
          <w:ilvl w:val="0"/>
          <w:numId w:val="0"/>
        </w:numPr>
        <w:ind w:firstLineChars="200" w:firstLine="31680"/>
      </w:pPr>
      <w:bookmarkStart w:id="34" w:name="_Toc11896"/>
      <w:r>
        <w:t>8</w:t>
      </w:r>
      <w:r>
        <w:rPr>
          <w:rFonts w:hint="eastAsia"/>
        </w:rPr>
        <w:t>附则</w:t>
      </w:r>
      <w:bookmarkEnd w:id="34"/>
    </w:p>
    <w:p w:rsidR="00C82363" w:rsidRDefault="00C82363" w:rsidP="00AA1EE7">
      <w:pPr>
        <w:pStyle w:val="433e907c-22c4-47aa-a0e2-5f03f9a2dc40"/>
        <w:numPr>
          <w:ilvl w:val="0"/>
          <w:numId w:val="0"/>
        </w:numPr>
        <w:ind w:firstLineChars="200" w:firstLine="31680"/>
      </w:pPr>
      <w:bookmarkStart w:id="35" w:name="_Toc3229"/>
      <w:r>
        <w:t>8.1</w:t>
      </w:r>
      <w:r>
        <w:rPr>
          <w:rFonts w:hint="eastAsia"/>
        </w:rPr>
        <w:t>名词术语解释</w:t>
      </w:r>
      <w:bookmarkEnd w:id="35"/>
    </w:p>
    <w:p w:rsidR="00C82363" w:rsidRDefault="00C82363" w:rsidP="00AA1EE7">
      <w:pPr>
        <w:pStyle w:val="bd243d13-394e-4bd9-99c9-3a29947aa2a1"/>
        <w:ind w:leftChars="0" w:firstLine="31680"/>
      </w:pPr>
      <w:r>
        <w:t>(1)</w:t>
      </w:r>
      <w:r>
        <w:rPr>
          <w:rFonts w:hint="eastAsia"/>
        </w:rPr>
        <w:t>辐射事故</w:t>
      </w:r>
    </w:p>
    <w:p w:rsidR="00C82363" w:rsidRDefault="00C82363" w:rsidP="00AA1EE7">
      <w:pPr>
        <w:pStyle w:val="bd243d13-394e-4bd9-99c9-3a29947aa2a1"/>
        <w:ind w:leftChars="0" w:firstLine="31680"/>
      </w:pPr>
      <w:r>
        <w:rPr>
          <w:rFonts w:hint="eastAsia"/>
        </w:rPr>
        <w:t>指除核设施事故以外，放射源丢失、被盗、失控，或者放射性同位素和射线装置失控造成人员受到意外的异常照射或环境放射性污染的事件。</w:t>
      </w:r>
    </w:p>
    <w:p w:rsidR="00C82363" w:rsidRDefault="00C82363" w:rsidP="00AA1EE7">
      <w:pPr>
        <w:pStyle w:val="bd243d13-394e-4bd9-99c9-3a29947aa2a1"/>
        <w:ind w:leftChars="0" w:firstLine="31680"/>
      </w:pPr>
      <w:r>
        <w:rPr>
          <w:rFonts w:hint="eastAsia"/>
        </w:rPr>
        <w:t>主要包括：</w:t>
      </w:r>
    </w:p>
    <w:p w:rsidR="00C82363" w:rsidRDefault="00C82363" w:rsidP="00AA1EE7">
      <w:pPr>
        <w:pStyle w:val="bd243d13-394e-4bd9-99c9-3a29947aa2a1"/>
        <w:ind w:leftChars="0" w:firstLine="31680"/>
      </w:pPr>
      <w:r>
        <w:rPr>
          <w:rFonts w:hint="eastAsia"/>
        </w:rPr>
        <w:t>①核技术利用中发生的辐射事故；</w:t>
      </w:r>
    </w:p>
    <w:p w:rsidR="00C82363" w:rsidRDefault="00C82363" w:rsidP="00AA1EE7">
      <w:pPr>
        <w:pStyle w:val="bd243d13-394e-4bd9-99c9-3a29947aa2a1"/>
        <w:ind w:leftChars="0" w:firstLine="31680"/>
      </w:pPr>
      <w:r>
        <w:rPr>
          <w:rFonts w:hint="eastAsia"/>
        </w:rPr>
        <w:t>②放射性废物处理、贮存和处置设施发生的辐射事故；</w:t>
      </w:r>
    </w:p>
    <w:p w:rsidR="00C82363" w:rsidRDefault="00C82363" w:rsidP="00AA1EE7">
      <w:pPr>
        <w:pStyle w:val="bd243d13-394e-4bd9-99c9-3a29947aa2a1"/>
        <w:ind w:leftChars="0" w:firstLine="31680"/>
      </w:pPr>
      <w:r>
        <w:rPr>
          <w:rFonts w:hint="eastAsia"/>
        </w:rPr>
        <w:t>③铀矿冶及伴生矿开发利用中发生的环境辐射污染事故；</w:t>
      </w:r>
    </w:p>
    <w:p w:rsidR="00C82363" w:rsidRDefault="00C82363" w:rsidP="00AA1EE7">
      <w:pPr>
        <w:pStyle w:val="bd243d13-394e-4bd9-99c9-3a29947aa2a1"/>
        <w:ind w:leftChars="0" w:firstLine="31680"/>
      </w:pPr>
      <w:r>
        <w:rPr>
          <w:rFonts w:hint="eastAsia"/>
        </w:rPr>
        <w:t>④放射性物质运输中发生的辐射事故；</w:t>
      </w:r>
    </w:p>
    <w:p w:rsidR="00C82363" w:rsidRDefault="00C82363" w:rsidP="00AA1EE7">
      <w:pPr>
        <w:pStyle w:val="bd243d13-394e-4bd9-99c9-3a29947aa2a1"/>
        <w:ind w:leftChars="0" w:firstLine="31680"/>
      </w:pPr>
      <w:r>
        <w:rPr>
          <w:rFonts w:hint="eastAsia"/>
        </w:rPr>
        <w:t>⑤国内外航天器在我区境内坠落造成的环境辐射污染事故；</w:t>
      </w:r>
    </w:p>
    <w:p w:rsidR="00C82363" w:rsidRDefault="00C82363" w:rsidP="00AA1EE7">
      <w:pPr>
        <w:pStyle w:val="bd243d13-394e-4bd9-99c9-3a29947aa2a1"/>
        <w:ind w:leftChars="0" w:firstLine="31680"/>
      </w:pPr>
      <w:r>
        <w:rPr>
          <w:rFonts w:hint="eastAsia"/>
        </w:rPr>
        <w:t>⑥各种重大自然灾害引发的次生辐射事故。</w:t>
      </w:r>
    </w:p>
    <w:p w:rsidR="00C82363" w:rsidRDefault="00C82363" w:rsidP="00AA1EE7">
      <w:pPr>
        <w:pStyle w:val="bd243d13-394e-4bd9-99c9-3a29947aa2a1"/>
        <w:ind w:leftChars="0" w:firstLine="31680"/>
      </w:pPr>
      <w:r>
        <w:t>(2)</w:t>
      </w:r>
      <w:r>
        <w:rPr>
          <w:rFonts w:hint="eastAsia"/>
        </w:rPr>
        <w:t>去污</w:t>
      </w:r>
    </w:p>
    <w:p w:rsidR="00C82363" w:rsidRDefault="00C82363" w:rsidP="00AA1EE7">
      <w:pPr>
        <w:pStyle w:val="bd243d13-394e-4bd9-99c9-3a29947aa2a1"/>
        <w:ind w:leftChars="0" w:firstLine="31680"/>
      </w:pPr>
      <w:r>
        <w:rPr>
          <w:rFonts w:hint="eastAsia"/>
        </w:rPr>
        <w:t>通过某种物理或化学过程去除或降污染。</w:t>
      </w:r>
    </w:p>
    <w:p w:rsidR="00C82363" w:rsidRDefault="00C82363" w:rsidP="00AA1EE7">
      <w:pPr>
        <w:pStyle w:val="bd243d13-394e-4bd9-99c9-3a29947aa2a1"/>
        <w:ind w:leftChars="0" w:firstLine="31680"/>
      </w:pPr>
      <w:r>
        <w:t>(3)</w:t>
      </w:r>
      <w:r>
        <w:rPr>
          <w:rFonts w:hint="eastAsia"/>
        </w:rPr>
        <w:t>干预水平</w:t>
      </w:r>
    </w:p>
    <w:p w:rsidR="00C82363" w:rsidRDefault="00C82363" w:rsidP="00AA1EE7">
      <w:pPr>
        <w:pStyle w:val="bd243d13-394e-4bd9-99c9-3a29947aa2a1"/>
        <w:ind w:leftChars="0" w:firstLine="31680"/>
      </w:pPr>
      <w:r>
        <w:rPr>
          <w:rFonts w:hint="eastAsia"/>
        </w:rPr>
        <w:t>指针对辐射应急情况所制定的可防止剂量水平，当达到这种水平时应考虑采取相应的防护行动。</w:t>
      </w:r>
    </w:p>
    <w:p w:rsidR="00C82363" w:rsidRDefault="00C82363" w:rsidP="00AA1EE7">
      <w:pPr>
        <w:pStyle w:val="bd243d13-394e-4bd9-99c9-3a29947aa2a1"/>
        <w:ind w:leftChars="0" w:firstLine="31680"/>
      </w:pPr>
      <w:r>
        <w:t>(4)</w:t>
      </w:r>
      <w:r>
        <w:rPr>
          <w:rFonts w:hint="eastAsia"/>
        </w:rPr>
        <w:t>放射性同位素</w:t>
      </w:r>
    </w:p>
    <w:p w:rsidR="00C82363" w:rsidRDefault="00C82363" w:rsidP="00AA1EE7">
      <w:pPr>
        <w:pStyle w:val="bd243d13-394e-4bd9-99c9-3a29947aa2a1"/>
        <w:ind w:leftChars="0" w:firstLine="31680"/>
      </w:pPr>
      <w:r>
        <w:rPr>
          <w:rFonts w:hint="eastAsia"/>
        </w:rPr>
        <w:t>指某种发生放射性衰变的元素中具有相同原子序数但质量不同的核素。</w:t>
      </w:r>
    </w:p>
    <w:p w:rsidR="00C82363" w:rsidRDefault="00C82363" w:rsidP="00AA1EE7">
      <w:pPr>
        <w:pStyle w:val="bd243d13-394e-4bd9-99c9-3a29947aa2a1"/>
        <w:ind w:leftChars="0" w:firstLine="31680"/>
      </w:pPr>
      <w:r>
        <w:t>(5)</w:t>
      </w:r>
      <w:r>
        <w:rPr>
          <w:rFonts w:hint="eastAsia"/>
        </w:rPr>
        <w:t>放射源</w:t>
      </w:r>
    </w:p>
    <w:p w:rsidR="00C82363" w:rsidRDefault="00C82363" w:rsidP="00AA1EE7">
      <w:pPr>
        <w:pStyle w:val="bd243d13-394e-4bd9-99c9-3a29947aa2a1"/>
        <w:ind w:leftChars="0" w:firstLine="31680"/>
      </w:pPr>
      <w:r>
        <w:rPr>
          <w:rFonts w:hint="eastAsia"/>
        </w:rPr>
        <w:t>指除研究堆和动力堆核燃料循环范畴的材料以外，永久密封在容器中或者有严密包层并呈固态的放射性材料。</w:t>
      </w:r>
    </w:p>
    <w:p w:rsidR="00C82363" w:rsidRDefault="00C82363" w:rsidP="00AA1EE7">
      <w:pPr>
        <w:pStyle w:val="bd243d13-394e-4bd9-99c9-3a29947aa2a1"/>
        <w:ind w:leftChars="0" w:firstLine="31680"/>
      </w:pPr>
      <w:r>
        <w:t>(6)</w:t>
      </w:r>
      <w:r>
        <w:rPr>
          <w:rFonts w:hint="eastAsia"/>
        </w:rPr>
        <w:t>射线装置</w:t>
      </w:r>
    </w:p>
    <w:p w:rsidR="00C82363" w:rsidRDefault="00C82363" w:rsidP="00AA1EE7">
      <w:pPr>
        <w:pStyle w:val="bd243d13-394e-4bd9-99c9-3a29947aa2a1"/>
        <w:ind w:leftChars="0" w:firstLine="31680"/>
      </w:pPr>
      <w:r>
        <w:rPr>
          <w:rFonts w:hint="eastAsia"/>
        </w:rPr>
        <w:t>是指</w:t>
      </w:r>
      <w:r>
        <w:t>X</w:t>
      </w:r>
      <w:r>
        <w:rPr>
          <w:rFonts w:hint="eastAsia"/>
        </w:rPr>
        <w:t>线机、加速器、中子发生器以及含放射源的装置。</w:t>
      </w:r>
    </w:p>
    <w:p w:rsidR="00C82363" w:rsidRDefault="00C82363" w:rsidP="00AA1EE7">
      <w:pPr>
        <w:pStyle w:val="433e907c-22c4-47aa-a0e2-5f03f9a2dc40"/>
        <w:numPr>
          <w:ilvl w:val="0"/>
          <w:numId w:val="0"/>
        </w:numPr>
        <w:ind w:firstLineChars="200" w:firstLine="31680"/>
      </w:pPr>
      <w:bookmarkStart w:id="36" w:name="_Toc23267"/>
      <w:r>
        <w:t>8.2</w:t>
      </w:r>
      <w:r>
        <w:rPr>
          <w:rFonts w:hint="eastAsia"/>
        </w:rPr>
        <w:t>预案管理</w:t>
      </w:r>
      <w:bookmarkEnd w:id="36"/>
    </w:p>
    <w:p w:rsidR="00C82363" w:rsidRDefault="00C82363" w:rsidP="00AA1EE7">
      <w:pPr>
        <w:pStyle w:val="bd243d13-394e-4bd9-99c9-3a29947aa2a1"/>
        <w:ind w:leftChars="0" w:firstLine="31680"/>
      </w:pPr>
      <w:r>
        <w:rPr>
          <w:rFonts w:hint="eastAsia"/>
        </w:rPr>
        <w:t>区生态环境局组织区级有关部门、有关单位定期开展预案评估工作，适时对本预案进行修订。本预案有效期原则上不超过</w:t>
      </w:r>
      <w:r>
        <w:t>5</w:t>
      </w:r>
      <w:r>
        <w:rPr>
          <w:rFonts w:hint="eastAsia"/>
        </w:rPr>
        <w:t>年。区级有关部门、各镇人民政府和街道办事处、辖区内从事核技术利用，放射性废物处理、贮存和处置，放射性物品运输，铀（钍）矿开发利用等的企事业单位要结合实际，制定本部门、本地区、本单位辐射事故应急预案或处置方案，并做好与本预案的衔接。</w:t>
      </w:r>
    </w:p>
    <w:p w:rsidR="00C82363" w:rsidRDefault="00C82363" w:rsidP="00AA1EE7">
      <w:pPr>
        <w:pStyle w:val="433e907c-22c4-47aa-a0e2-5f03f9a2dc40"/>
        <w:numPr>
          <w:ilvl w:val="0"/>
          <w:numId w:val="0"/>
        </w:numPr>
        <w:ind w:firstLineChars="200" w:firstLine="31680"/>
      </w:pPr>
      <w:bookmarkStart w:id="37" w:name="_Toc31005"/>
      <w:r>
        <w:t>8.3</w:t>
      </w:r>
      <w:r>
        <w:rPr>
          <w:rFonts w:hint="eastAsia"/>
        </w:rPr>
        <w:t>预案解释</w:t>
      </w:r>
      <w:bookmarkEnd w:id="37"/>
    </w:p>
    <w:p w:rsidR="00C82363" w:rsidRDefault="00C82363" w:rsidP="00AA1EE7">
      <w:pPr>
        <w:pStyle w:val="bd243d13-394e-4bd9-99c9-3a29947aa2a1"/>
        <w:ind w:leftChars="0" w:firstLine="31680"/>
      </w:pPr>
      <w:r>
        <w:rPr>
          <w:rFonts w:hint="eastAsia"/>
        </w:rPr>
        <w:t>本预案由区生态环境局负责解释。</w:t>
      </w:r>
    </w:p>
    <w:p w:rsidR="00C82363" w:rsidRDefault="00C82363" w:rsidP="00AA1EE7">
      <w:pPr>
        <w:pStyle w:val="433e907c-22c4-47aa-a0e2-5f03f9a2dc40"/>
        <w:numPr>
          <w:ilvl w:val="0"/>
          <w:numId w:val="0"/>
        </w:numPr>
        <w:ind w:firstLineChars="200" w:firstLine="31680"/>
      </w:pPr>
      <w:bookmarkStart w:id="38" w:name="_Toc31167"/>
      <w:r>
        <w:t>8.4</w:t>
      </w:r>
      <w:r>
        <w:rPr>
          <w:rFonts w:hint="eastAsia"/>
        </w:rPr>
        <w:t>预案实施</w:t>
      </w:r>
      <w:bookmarkEnd w:id="38"/>
    </w:p>
    <w:p w:rsidR="00C82363" w:rsidRDefault="00C82363" w:rsidP="00AA1EE7">
      <w:pPr>
        <w:pStyle w:val="bd243d13-394e-4bd9-99c9-3a29947aa2a1"/>
        <w:ind w:leftChars="0" w:firstLine="31680"/>
      </w:pPr>
      <w:r>
        <w:rPr>
          <w:rFonts w:hint="eastAsia"/>
        </w:rPr>
        <w:t>本预案自印发之日起实施。《重庆市辐射应急预案》渝北府办〔</w:t>
      </w:r>
      <w:r>
        <w:t>2018</w:t>
      </w:r>
      <w:r>
        <w:rPr>
          <w:rFonts w:hint="eastAsia"/>
        </w:rPr>
        <w:t>〕</w:t>
      </w:r>
      <w:r>
        <w:t>93</w:t>
      </w:r>
      <w:r>
        <w:rPr>
          <w:rFonts w:hint="eastAsia"/>
        </w:rPr>
        <w:t>号同时废止。</w:t>
      </w:r>
    </w:p>
    <w:p w:rsidR="00C82363" w:rsidRDefault="00C82363" w:rsidP="00AA1EE7">
      <w:pPr>
        <w:pStyle w:val="72c23eac-05e5-485a-9b67-1c7dbe1944ac"/>
        <w:numPr>
          <w:ilvl w:val="0"/>
          <w:numId w:val="0"/>
        </w:numPr>
        <w:ind w:firstLineChars="200" w:firstLine="31680"/>
      </w:pPr>
      <w:bookmarkStart w:id="39" w:name="_Toc17051"/>
      <w:r>
        <w:t>9</w:t>
      </w:r>
      <w:r>
        <w:rPr>
          <w:rFonts w:hint="eastAsia"/>
        </w:rPr>
        <w:t>附件</w:t>
      </w:r>
      <w:bookmarkEnd w:id="39"/>
    </w:p>
    <w:p w:rsidR="00C82363" w:rsidRDefault="00C82363" w:rsidP="00AA1EE7">
      <w:pPr>
        <w:pStyle w:val="bd243d13-394e-4bd9-99c9-3a29947aa2a1"/>
        <w:tabs>
          <w:tab w:val="left" w:pos="2410"/>
        </w:tabs>
        <w:ind w:leftChars="233" w:left="31680" w:hangingChars="332" w:firstLine="31680"/>
      </w:pPr>
      <w:r>
        <w:rPr>
          <w:rFonts w:hint="eastAsia"/>
        </w:rPr>
        <w:t>附件：</w:t>
      </w:r>
      <w:r>
        <w:t>1.</w:t>
      </w:r>
      <w:r>
        <w:rPr>
          <w:rFonts w:hint="eastAsia"/>
        </w:rPr>
        <w:t>渝北区辐射事故应急指挥部及成员单位、工作组职责</w:t>
      </w:r>
    </w:p>
    <w:p w:rsidR="00C82363" w:rsidRDefault="00C82363" w:rsidP="00AA1EE7">
      <w:pPr>
        <w:pStyle w:val="bd243d13-394e-4bd9-99c9-3a29947aa2a1"/>
        <w:ind w:leftChars="467" w:left="31680" w:hangingChars="98" w:firstLine="31680"/>
      </w:pPr>
      <w:r>
        <w:t>2.</w:t>
      </w:r>
      <w:r>
        <w:rPr>
          <w:rFonts w:hint="eastAsia"/>
        </w:rPr>
        <w:t>渝北区辐射事故应急区级相关部门和单位联系表</w:t>
      </w:r>
    </w:p>
    <w:p w:rsidR="00C82363" w:rsidRDefault="00C82363">
      <w:r>
        <w:br w:type="page"/>
      </w:r>
    </w:p>
    <w:p w:rsidR="00C82363" w:rsidRDefault="00C82363">
      <w:pPr>
        <w:pStyle w:val="bd243d13-394e-4bd9-99c9-3a29947aa2a1"/>
        <w:ind w:leftChars="0" w:firstLineChars="0" w:firstLine="0"/>
        <w:rPr>
          <w:rFonts w:ascii="黑体" w:eastAsia="黑体" w:hAnsi="黑体"/>
        </w:rPr>
      </w:pPr>
      <w:r>
        <w:rPr>
          <w:rFonts w:ascii="黑体" w:eastAsia="黑体" w:hAnsi="黑体" w:hint="eastAsia"/>
        </w:rPr>
        <w:t>附件</w:t>
      </w:r>
      <w:r>
        <w:rPr>
          <w:rFonts w:ascii="黑体" w:eastAsia="黑体" w:hAnsi="黑体"/>
        </w:rPr>
        <w:t>1</w:t>
      </w:r>
    </w:p>
    <w:p w:rsidR="00C82363" w:rsidRDefault="00C82363" w:rsidP="00AA1EE7">
      <w:pPr>
        <w:pStyle w:val="bd243d13-394e-4bd9-99c9-3a29947aa2a1"/>
        <w:ind w:leftChars="0" w:firstLine="31680"/>
        <w:jc w:val="center"/>
      </w:pPr>
    </w:p>
    <w:p w:rsidR="00C82363" w:rsidRDefault="00C82363">
      <w:pPr>
        <w:pStyle w:val="bd243d13-394e-4bd9-99c9-3a29947aa2a1"/>
        <w:ind w:leftChars="0" w:firstLineChars="0" w:firstLine="0"/>
        <w:jc w:val="center"/>
        <w:rPr>
          <w:rFonts w:ascii="黑体" w:eastAsia="黑体" w:hAnsi="黑体"/>
          <w:spacing w:val="-10"/>
        </w:rPr>
      </w:pPr>
      <w:r>
        <w:rPr>
          <w:rFonts w:ascii="黑体" w:eastAsia="黑体" w:hAnsi="黑体" w:hint="eastAsia"/>
          <w:spacing w:val="-10"/>
        </w:rPr>
        <w:t>渝北区辐射应急指挥部及成员单位、工作组职责</w:t>
      </w:r>
    </w:p>
    <w:p w:rsidR="00C82363" w:rsidRDefault="00C82363" w:rsidP="00AA1EE7">
      <w:pPr>
        <w:pStyle w:val="bd243d13-394e-4bd9-99c9-3a29947aa2a1"/>
        <w:ind w:leftChars="0" w:firstLine="31680"/>
        <w:jc w:val="center"/>
      </w:pPr>
    </w:p>
    <w:p w:rsidR="00C82363" w:rsidRDefault="00C82363" w:rsidP="00AA1EE7">
      <w:pPr>
        <w:pStyle w:val="bd243d13-394e-4bd9-99c9-3a29947aa2a1"/>
        <w:ind w:leftChars="0" w:firstLine="31680"/>
      </w:pPr>
      <w:r>
        <w:rPr>
          <w:rFonts w:hint="eastAsia"/>
        </w:rPr>
        <w:t>一、区辐射应急指挥部及职责</w:t>
      </w:r>
    </w:p>
    <w:p w:rsidR="00C82363" w:rsidRDefault="00C82363" w:rsidP="00AA1EE7">
      <w:pPr>
        <w:pStyle w:val="bd243d13-394e-4bd9-99c9-3a29947aa2a1"/>
        <w:ind w:leftChars="0" w:firstLine="31680"/>
      </w:pPr>
      <w:r>
        <w:rPr>
          <w:rFonts w:hint="eastAsia"/>
        </w:rPr>
        <w:t>区辐射应急指挥部实行指挥长负责制度，由区政府分管领导同志担任指挥长，区政府办联系副主任、区应急局局长、区生态环境局局长、区卫生健康委主任、区公安分局副局长、事发地镇人民政府镇长和街道办事处主任担任副指挥长，根据事故类型可增补有关单位主要负责人为副指挥长。主要职责：</w:t>
      </w:r>
    </w:p>
    <w:p w:rsidR="00C82363" w:rsidRDefault="00C82363" w:rsidP="00AA1EE7">
      <w:pPr>
        <w:pStyle w:val="bd243d13-394e-4bd9-99c9-3a29947aa2a1"/>
        <w:ind w:leftChars="0" w:firstLine="31680"/>
      </w:pPr>
      <w:r>
        <w:t>(1)</w:t>
      </w:r>
      <w:r>
        <w:rPr>
          <w:rFonts w:hint="eastAsia"/>
        </w:rPr>
        <w:t>决定应急响应行动的启动和终止；</w:t>
      </w:r>
    </w:p>
    <w:p w:rsidR="00C82363" w:rsidRDefault="00C82363" w:rsidP="00AA1EE7">
      <w:pPr>
        <w:pStyle w:val="bd243d13-394e-4bd9-99c9-3a29947aa2a1"/>
        <w:ind w:leftChars="0" w:firstLine="31680"/>
      </w:pPr>
      <w:r>
        <w:t>(2)</w:t>
      </w:r>
      <w:r>
        <w:rPr>
          <w:rFonts w:hint="eastAsia"/>
        </w:rPr>
        <w:t>组织、指挥和协调应急处置；</w:t>
      </w:r>
    </w:p>
    <w:p w:rsidR="00C82363" w:rsidRDefault="00C82363" w:rsidP="00AA1EE7">
      <w:pPr>
        <w:pStyle w:val="bd243d13-394e-4bd9-99c9-3a29947aa2a1"/>
        <w:ind w:leftChars="0" w:firstLine="31680"/>
      </w:pPr>
      <w:r>
        <w:t>(3)</w:t>
      </w:r>
      <w:r>
        <w:rPr>
          <w:rFonts w:hint="eastAsia"/>
        </w:rPr>
        <w:t>向区政府报告辐射事故及应急处置情况；</w:t>
      </w:r>
    </w:p>
    <w:p w:rsidR="00C82363" w:rsidRDefault="00C82363" w:rsidP="00AA1EE7">
      <w:pPr>
        <w:pStyle w:val="bd243d13-394e-4bd9-99c9-3a29947aa2a1"/>
        <w:ind w:leftChars="0" w:firstLine="31680"/>
      </w:pPr>
      <w:r>
        <w:t>(4)</w:t>
      </w:r>
      <w:r>
        <w:rPr>
          <w:rFonts w:hint="eastAsia"/>
        </w:rPr>
        <w:t>组织调度有关队伍、专家、物资、装备；</w:t>
      </w:r>
    </w:p>
    <w:p w:rsidR="00C82363" w:rsidRDefault="00C82363" w:rsidP="00AA1EE7">
      <w:pPr>
        <w:pStyle w:val="bd243d13-394e-4bd9-99c9-3a29947aa2a1"/>
        <w:ind w:leftChars="0" w:firstLine="31680"/>
      </w:pPr>
      <w:r>
        <w:t>(5)</w:t>
      </w:r>
      <w:r>
        <w:rPr>
          <w:rFonts w:hint="eastAsia"/>
        </w:rPr>
        <w:t>收集掌握事故有关信息，决定采取重大应急处置措施。</w:t>
      </w:r>
    </w:p>
    <w:p w:rsidR="00C82363" w:rsidRDefault="00C82363" w:rsidP="00AA1EE7">
      <w:pPr>
        <w:pStyle w:val="bd243d13-394e-4bd9-99c9-3a29947aa2a1"/>
        <w:ind w:leftChars="0" w:firstLine="31680"/>
      </w:pPr>
      <w:r>
        <w:rPr>
          <w:rFonts w:hint="eastAsia"/>
        </w:rPr>
        <w:t>二、区辐射应急指挥部成员单位及职责</w:t>
      </w:r>
    </w:p>
    <w:p w:rsidR="00C82363" w:rsidRDefault="00C82363" w:rsidP="00AA1EE7">
      <w:pPr>
        <w:pStyle w:val="bd243d13-394e-4bd9-99c9-3a29947aa2a1"/>
        <w:ind w:leftChars="0" w:firstLine="31680"/>
      </w:pPr>
      <w:r>
        <w:rPr>
          <w:rFonts w:hint="eastAsia"/>
        </w:rPr>
        <w:t>区辐射应急指挥部成员单位包括区应急局、区生态环境局、区公安分局、区委宣传部、区委网信办、区大数据局、区民政局、区财政局、区人力社保局、区医保局、区交通运输委、区水利局、区农业农村委、区商务委、区卫生健康委、区林业局、区市场监管局、区气象局、区消防救援局、事发地镇人民政府和街道办事处等单位。各成员单位职责如下：</w:t>
      </w:r>
    </w:p>
    <w:p w:rsidR="00C82363" w:rsidRDefault="00C82363" w:rsidP="00AA1EE7">
      <w:pPr>
        <w:pStyle w:val="bd243d13-394e-4bd9-99c9-3a29947aa2a1"/>
        <w:ind w:leftChars="0" w:firstLine="31680"/>
      </w:pPr>
      <w:r>
        <w:rPr>
          <w:rFonts w:hint="eastAsia"/>
        </w:rPr>
        <w:t>区应急局：指导各级各部门应对安全生产类、自然灾害类等引发的次生辐射事故，统筹协调各相关部门参与辐射事故应急救援工作；配合区生态环境局做好辐射事故的调查处理工作，按照区政府的决定发布预警信息；向市应急局报告事故相关信息。</w:t>
      </w:r>
    </w:p>
    <w:p w:rsidR="00C82363" w:rsidRDefault="00C82363" w:rsidP="00AA1EE7">
      <w:pPr>
        <w:pStyle w:val="bd243d13-394e-4bd9-99c9-3a29947aa2a1"/>
        <w:ind w:leftChars="0" w:firstLine="31680"/>
      </w:pPr>
      <w:r>
        <w:rPr>
          <w:rFonts w:hint="eastAsia"/>
        </w:rPr>
        <w:t>区生态环境局：设立辐射事故应急管理办公室，负责日常管理工作；负责组织辐射应急专家开展应急处置工作，负责牵头组织辐射事故抢险救援；负责辐射事故的应急监测、污染处置和调查；负责指导协调和监督辐射事故后的生态保护修复工作；负责向市生态环境局、区政府报告辐射事故及处置情况，负责提出防止事态扩大和控制污染危害、预警信息建议，负责向市生态环境局提出技术指导和援助请求；配合开展辐射事故应急相关的公众宣传、信息公开和舆论引导工作；协助区公安分局追缴丢失、被盗的放射源。</w:t>
      </w:r>
    </w:p>
    <w:p w:rsidR="00C82363" w:rsidRDefault="00C82363" w:rsidP="00AA1EE7">
      <w:pPr>
        <w:pStyle w:val="bd243d13-394e-4bd9-99c9-3a29947aa2a1"/>
        <w:ind w:leftChars="0" w:firstLine="31680"/>
      </w:pPr>
      <w:r>
        <w:rPr>
          <w:rFonts w:hint="eastAsia"/>
        </w:rPr>
        <w:t>区公安分局：负责丢失和被盗放射源的立案、侦查和追缴；负责事发现场警戒、道路交通管制，开通应急救援绿色通道，协助事发地镇街组织群众疏散、撤离，维护社会治安；参与事故应急救援工作。</w:t>
      </w:r>
    </w:p>
    <w:p w:rsidR="00C82363" w:rsidRDefault="00C82363" w:rsidP="00AA1EE7">
      <w:pPr>
        <w:pStyle w:val="bd243d13-394e-4bd9-99c9-3a29947aa2a1"/>
        <w:ind w:leftChars="0" w:firstLine="31680"/>
      </w:pPr>
      <w:r>
        <w:rPr>
          <w:rFonts w:hint="eastAsia"/>
        </w:rPr>
        <w:t>区委宣传部：负责起草新闻通稿，组织新闻发布会，正确引导舆论；做好现场新闻媒体接待和服务工作。</w:t>
      </w:r>
    </w:p>
    <w:p w:rsidR="00C82363" w:rsidRDefault="00C82363" w:rsidP="00AA1EE7">
      <w:pPr>
        <w:pStyle w:val="bd243d13-394e-4bd9-99c9-3a29947aa2a1"/>
        <w:ind w:leftChars="0" w:firstLine="31680"/>
      </w:pPr>
      <w:r>
        <w:rPr>
          <w:rFonts w:hint="eastAsia"/>
        </w:rPr>
        <w:t>区委网信办：负责监测网络舆情，会同有关部门开展网络舆情引导，及时澄清网络谣言。</w:t>
      </w:r>
    </w:p>
    <w:p w:rsidR="00C82363" w:rsidRDefault="00C82363" w:rsidP="00AA1EE7">
      <w:pPr>
        <w:pStyle w:val="bd243d13-394e-4bd9-99c9-3a29947aa2a1"/>
        <w:ind w:leftChars="0" w:firstLine="31680"/>
      </w:pPr>
      <w:r>
        <w:rPr>
          <w:rFonts w:hint="eastAsia"/>
        </w:rPr>
        <w:t>区大数据局：负责组织通讯企业采取必要措施，确保事发区域通信畅通。</w:t>
      </w:r>
    </w:p>
    <w:p w:rsidR="00C82363" w:rsidRDefault="00C82363" w:rsidP="00AA1EE7">
      <w:pPr>
        <w:pStyle w:val="bd243d13-394e-4bd9-99c9-3a29947aa2a1"/>
        <w:ind w:leftChars="0" w:firstLine="31680"/>
      </w:pPr>
      <w:r>
        <w:rPr>
          <w:rFonts w:hint="eastAsia"/>
        </w:rPr>
        <w:t>区民政局：协助事发镇人民政府和街道办事处做好受影响群众的安置、安抚和善后工作。</w:t>
      </w:r>
    </w:p>
    <w:p w:rsidR="00C82363" w:rsidRDefault="00C82363" w:rsidP="00AA1EE7">
      <w:pPr>
        <w:pStyle w:val="bd243d13-394e-4bd9-99c9-3a29947aa2a1"/>
        <w:ind w:leftChars="0" w:firstLine="31680"/>
      </w:pPr>
      <w:r>
        <w:rPr>
          <w:rFonts w:hint="eastAsia"/>
        </w:rPr>
        <w:t>区财政局：负责辐射事故应对工作经费保障。</w:t>
      </w:r>
    </w:p>
    <w:p w:rsidR="00C82363" w:rsidRDefault="00C82363" w:rsidP="00AA1EE7">
      <w:pPr>
        <w:pStyle w:val="bd243d13-394e-4bd9-99c9-3a29947aa2a1"/>
        <w:ind w:leftChars="0" w:firstLine="31680"/>
      </w:pPr>
      <w:r>
        <w:rPr>
          <w:rFonts w:hint="eastAsia"/>
        </w:rPr>
        <w:t>区人力社保局：负责工伤保险等有关事宜；参与善后处理工作。</w:t>
      </w:r>
    </w:p>
    <w:p w:rsidR="00C82363" w:rsidRDefault="00C82363" w:rsidP="00AA1EE7">
      <w:pPr>
        <w:pStyle w:val="bd243d13-394e-4bd9-99c9-3a29947aa2a1"/>
        <w:ind w:leftChars="0" w:firstLine="31680"/>
      </w:pPr>
      <w:r>
        <w:rPr>
          <w:rFonts w:hint="eastAsia"/>
        </w:rPr>
        <w:t>区医保局：负责医疗保险等有关事宜；参与善后处理工作。</w:t>
      </w:r>
    </w:p>
    <w:p w:rsidR="00C82363" w:rsidRDefault="00C82363" w:rsidP="00AA1EE7">
      <w:pPr>
        <w:pStyle w:val="bd243d13-394e-4bd9-99c9-3a29947aa2a1"/>
        <w:ind w:leftChars="0" w:firstLine="31680"/>
      </w:pPr>
      <w:r>
        <w:rPr>
          <w:rFonts w:hint="eastAsia"/>
        </w:rPr>
        <w:t>区交通运输委：负责管辖路段应急运输通道的工程抢通；负责对放射性物品运输过程中可能引发辐射事故的预防和应急处置，特别是区外发生辐射事故可能影响我区时，配合相关部门增设卡点、监测点和洗消点。</w:t>
      </w:r>
    </w:p>
    <w:p w:rsidR="00C82363" w:rsidRDefault="00C82363" w:rsidP="00AA1EE7">
      <w:pPr>
        <w:pStyle w:val="bd243d13-394e-4bd9-99c9-3a29947aa2a1"/>
        <w:ind w:leftChars="0" w:firstLine="31680"/>
      </w:pPr>
      <w:r>
        <w:rPr>
          <w:rFonts w:hint="eastAsia"/>
        </w:rPr>
        <w:t>区水利局：组织指导因洪涝灾害引发辐射事故的预防和应对工作；提供辐射事故应对工作所需水文水利资料。</w:t>
      </w:r>
    </w:p>
    <w:p w:rsidR="00C82363" w:rsidRDefault="00C82363" w:rsidP="00AA1EE7">
      <w:pPr>
        <w:pStyle w:val="bd243d13-394e-4bd9-99c9-3a29947aa2a1"/>
        <w:ind w:leftChars="0" w:firstLine="31680"/>
      </w:pPr>
      <w:r>
        <w:rPr>
          <w:rFonts w:hint="eastAsia"/>
        </w:rPr>
        <w:t>区农业农村委：参与做好涉及农田、渔业、牲畜和养殖业、野生水生生物放射性污染事故的调查处理；协助受污染粮食作物、牲畜、家禽的处理；配合有关部门制定和实施农产品限制计划。</w:t>
      </w:r>
    </w:p>
    <w:p w:rsidR="00C82363" w:rsidRDefault="00C82363" w:rsidP="00AA1EE7">
      <w:pPr>
        <w:pStyle w:val="bd243d13-394e-4bd9-99c9-3a29947aa2a1"/>
        <w:ind w:leftChars="0" w:firstLine="31680"/>
      </w:pPr>
      <w:r>
        <w:rPr>
          <w:rFonts w:hint="eastAsia"/>
        </w:rPr>
        <w:t>区商务委：负责组织生活必需品等重要商品市场供应，维护市场稳定；保障事故应对工作所需生活物资。</w:t>
      </w:r>
    </w:p>
    <w:p w:rsidR="00C82363" w:rsidRDefault="00C82363" w:rsidP="00AA1EE7">
      <w:pPr>
        <w:pStyle w:val="bd243d13-394e-4bd9-99c9-3a29947aa2a1"/>
        <w:ind w:leftChars="0" w:firstLine="31680"/>
      </w:pPr>
      <w:r>
        <w:rPr>
          <w:rFonts w:hint="eastAsia"/>
        </w:rPr>
        <w:t>区卫生健康委：负责组织对辐射事故损伤人员的救治；负责受照人员剂量重建、体表监测和去污，居民饮用水放射性水平监测，居民远期健康效应评估和医学随访；负责应急人员健康监护，制定应急人员的剂量控制计划和行动计划；参与制定饮水和食品限制计划；开展公众心理干预和健康教育；参与事故应急救援工作。</w:t>
      </w:r>
    </w:p>
    <w:p w:rsidR="00C82363" w:rsidRDefault="00C82363" w:rsidP="00AA1EE7">
      <w:pPr>
        <w:pStyle w:val="bd243d13-394e-4bd9-99c9-3a29947aa2a1"/>
        <w:ind w:leftChars="0" w:firstLine="31680"/>
      </w:pPr>
      <w:r>
        <w:rPr>
          <w:rFonts w:hint="eastAsia"/>
        </w:rPr>
        <w:t>区林业局：协助相关部门做好涉及森林、林地、草场、野生陆生动物及林业部门主管的自然保护区内发生的辐射事故的调查和处置工作，并配合生态环境部门开展生态恢复有关工作。</w:t>
      </w:r>
    </w:p>
    <w:p w:rsidR="00C82363" w:rsidRDefault="00C82363" w:rsidP="00AA1EE7">
      <w:pPr>
        <w:pStyle w:val="bd243d13-394e-4bd9-99c9-3a29947aa2a1"/>
        <w:ind w:leftChars="0" w:firstLine="31680"/>
      </w:pPr>
      <w:r>
        <w:rPr>
          <w:rFonts w:hint="eastAsia"/>
        </w:rPr>
        <w:t>区市场监管局：负责辐射事故发生时的食品污染监管，负责制定并实施食品控制计划，参与辐射事故发生时的食品污染监测。</w:t>
      </w:r>
    </w:p>
    <w:p w:rsidR="00C82363" w:rsidRDefault="00C82363" w:rsidP="00AA1EE7">
      <w:pPr>
        <w:pStyle w:val="bd243d13-394e-4bd9-99c9-3a29947aa2a1"/>
        <w:ind w:leftChars="0" w:firstLine="31680"/>
      </w:pPr>
      <w:r>
        <w:rPr>
          <w:rFonts w:hint="eastAsia"/>
        </w:rPr>
        <w:t>区气象局：负责提供应急响应期间有关气象资料信息。</w:t>
      </w:r>
    </w:p>
    <w:p w:rsidR="00C82363" w:rsidRDefault="00C82363" w:rsidP="00AA1EE7">
      <w:pPr>
        <w:pStyle w:val="bd243d13-394e-4bd9-99c9-3a29947aa2a1"/>
        <w:ind w:leftChars="0" w:firstLine="31680"/>
      </w:pPr>
      <w:r>
        <w:rPr>
          <w:rFonts w:hint="eastAsia"/>
        </w:rPr>
        <w:t>区消防救援局：在事故救援专家指导下负责放射源贮存场所及周边火灾的应急处置；明确</w:t>
      </w:r>
      <w:r>
        <w:t>1</w:t>
      </w:r>
      <w:r>
        <w:rPr>
          <w:rFonts w:hint="eastAsia"/>
        </w:rPr>
        <w:t>人参与生态环境部门牵头的应急事故处置单元力量建设，及时报请上级出动专业处置力量。</w:t>
      </w:r>
    </w:p>
    <w:p w:rsidR="00C82363" w:rsidRDefault="00C82363" w:rsidP="00AA1EE7">
      <w:pPr>
        <w:pStyle w:val="bd243d13-394e-4bd9-99c9-3a29947aa2a1"/>
        <w:ind w:leftChars="0" w:firstLine="31680"/>
      </w:pPr>
      <w:r>
        <w:rPr>
          <w:rFonts w:hint="eastAsia"/>
        </w:rPr>
        <w:t>事发地镇人民政府和街道办事处：负责及时报告事故有关情况，启动有关应急预案，调集抢险救援力量开展应急处置，最大限度地减少人员伤亡、财产损失和环境危害；牵头做好善后处理工作；为事故抢险救援提供后勤保障。</w:t>
      </w:r>
    </w:p>
    <w:p w:rsidR="00C82363" w:rsidRDefault="00C82363" w:rsidP="00AA1EE7">
      <w:pPr>
        <w:pStyle w:val="bd243d13-394e-4bd9-99c9-3a29947aa2a1"/>
        <w:ind w:leftChars="0" w:firstLine="31680"/>
      </w:pPr>
      <w:r>
        <w:rPr>
          <w:rFonts w:hint="eastAsia"/>
        </w:rPr>
        <w:t>事发企事业单位：负责启动本单位应急预案，提供事故风险评估情况，组织本单位应急救援队伍和专家对事故进行先期处置，防止事态进一步扩大；配合做好事故调查工作。</w:t>
      </w:r>
      <w:r>
        <w:br w:type="page"/>
      </w:r>
    </w:p>
    <w:p w:rsidR="00C82363" w:rsidRDefault="00C82363" w:rsidP="00AA1EE7">
      <w:pPr>
        <w:pStyle w:val="bd243d13-394e-4bd9-99c9-3a29947aa2a1"/>
        <w:ind w:leftChars="0" w:firstLine="31680"/>
        <w:sectPr w:rsidR="00C82363">
          <w:footerReference w:type="default" r:id="rId7"/>
          <w:pgSz w:w="11906" w:h="16838"/>
          <w:pgMar w:top="2098" w:right="1474" w:bottom="1984" w:left="1588" w:header="851" w:footer="1417" w:gutter="0"/>
          <w:pgNumType w:start="1"/>
          <w:cols w:space="0"/>
          <w:docGrid w:type="linesAndChars" w:linePitch="579" w:charSpace="-849"/>
        </w:sectPr>
      </w:pPr>
    </w:p>
    <w:p w:rsidR="00C82363" w:rsidRDefault="00C82363" w:rsidP="00AA1EE7">
      <w:pPr>
        <w:pStyle w:val="bd243d13-394e-4bd9-99c9-3a29947aa2a1"/>
        <w:ind w:leftChars="0" w:firstLine="31680"/>
      </w:pPr>
      <w:r>
        <w:rPr>
          <w:rFonts w:hint="eastAsia"/>
        </w:rPr>
        <w:t>三、区辐射应急指挥部各工作组及职责</w:t>
      </w:r>
    </w:p>
    <w:p w:rsidR="00C82363" w:rsidRDefault="00C82363">
      <w:pPr>
        <w:widowControl/>
        <w:jc w:val="left"/>
        <w:rPr>
          <w:rFonts w:ascii="仿宋"/>
          <w:color w:val="000000"/>
        </w:rPr>
        <w:sectPr w:rsidR="00C82363">
          <w:pgSz w:w="16838" w:h="11906" w:orient="landscape"/>
          <w:pgMar w:top="1587" w:right="2098" w:bottom="1474" w:left="1984" w:header="851" w:footer="1417" w:gutter="0"/>
          <w:cols w:space="0"/>
          <w:docGrid w:type="linesAndChars" w:linePitch="589" w:charSpace="-849"/>
        </w:sectPr>
      </w:pPr>
      <w:r w:rsidRPr="008F4C66">
        <w:rPr>
          <w:rFonts w:ascii="宋体" w:eastAsia="宋体" w:hAnsi="宋体" w:cs="宋体"/>
        </w:rPr>
        <w:object w:dxaOrig="11955" w:dyaOrig="897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51.6pt;height:363pt" o:ole="">
            <v:imagedata r:id="rId8" o:title="" gain="79920f" blacklevel="-3932f"/>
          </v:shape>
          <o:OLEObject Type="Embed" ProgID="Visio.Drawing.11" ShapeID="_x0000_i1025" DrawAspect="Content" ObjectID="_1813129797" r:id="rId9"/>
        </w:object>
      </w:r>
      <w:r>
        <w:rPr>
          <w:rFonts w:ascii="仿宋"/>
          <w:color w:val="000000"/>
        </w:rPr>
        <w:br w:type="page"/>
      </w:r>
    </w:p>
    <w:p w:rsidR="00C82363" w:rsidRDefault="00C82363">
      <w:pPr>
        <w:pStyle w:val="bd243d13-394e-4bd9-99c9-3a29947aa2a1"/>
        <w:ind w:leftChars="0" w:firstLineChars="0" w:firstLine="0"/>
        <w:rPr>
          <w:rFonts w:ascii="黑体" w:eastAsia="黑体" w:hAnsi="黑体"/>
        </w:rPr>
      </w:pPr>
      <w:r>
        <w:rPr>
          <w:rFonts w:ascii="黑体" w:eastAsia="黑体" w:hAnsi="黑体" w:hint="eastAsia"/>
        </w:rPr>
        <w:t>附件</w:t>
      </w:r>
      <w:r>
        <w:rPr>
          <w:rFonts w:ascii="黑体" w:eastAsia="黑体" w:hAnsi="黑体"/>
        </w:rPr>
        <w:t>2</w:t>
      </w:r>
    </w:p>
    <w:p w:rsidR="00C82363" w:rsidRDefault="00C82363">
      <w:pPr>
        <w:pStyle w:val="bd243d13-394e-4bd9-99c9-3a29947aa2a1"/>
        <w:ind w:leftChars="0" w:firstLineChars="0" w:firstLine="0"/>
        <w:jc w:val="center"/>
        <w:rPr>
          <w:rFonts w:ascii="黑体" w:eastAsia="黑体" w:hAnsi="黑体"/>
          <w:spacing w:val="-4"/>
        </w:rPr>
      </w:pPr>
    </w:p>
    <w:p w:rsidR="00C82363" w:rsidRDefault="00C82363">
      <w:pPr>
        <w:pStyle w:val="bd243d13-394e-4bd9-99c9-3a29947aa2a1"/>
        <w:ind w:leftChars="0" w:firstLineChars="0" w:firstLine="0"/>
        <w:jc w:val="center"/>
        <w:rPr>
          <w:rFonts w:ascii="黑体" w:eastAsia="黑体" w:hAnsi="黑体"/>
          <w:spacing w:val="-4"/>
        </w:rPr>
      </w:pPr>
      <w:r>
        <w:rPr>
          <w:rFonts w:ascii="黑体" w:eastAsia="黑体" w:hAnsi="黑体" w:hint="eastAsia"/>
          <w:spacing w:val="-4"/>
        </w:rPr>
        <w:t>渝北区辐射事故应急区级相关部门和单位联系表</w:t>
      </w:r>
    </w:p>
    <w:p w:rsidR="00C82363" w:rsidRDefault="00C82363">
      <w:pPr>
        <w:pStyle w:val="bd243d13-394e-4bd9-99c9-3a29947aa2a1"/>
        <w:ind w:leftChars="0" w:firstLineChars="0" w:firstLine="0"/>
        <w:jc w:val="center"/>
        <w:rPr>
          <w:rFonts w:ascii="黑体" w:eastAsia="黑体" w:hAnsi="黑体"/>
          <w:spacing w:val="-4"/>
        </w:rPr>
      </w:pPr>
    </w:p>
    <w:p w:rsidR="00C82363" w:rsidRDefault="00C82363" w:rsidP="00AA1EE7">
      <w:pPr>
        <w:pStyle w:val="bd243d13-394e-4bd9-99c9-3a29947aa2a1"/>
        <w:ind w:leftChars="0" w:firstLine="31680"/>
      </w:pPr>
      <w:r>
        <w:rPr>
          <w:rFonts w:hint="eastAsia"/>
        </w:rPr>
        <w:t>一、区级有关部门联系电话</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999"/>
        <w:gridCol w:w="2718"/>
        <w:gridCol w:w="2666"/>
        <w:gridCol w:w="2677"/>
      </w:tblGrid>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b/>
                <w:bCs/>
                <w:sz w:val="24"/>
                <w:szCs w:val="24"/>
              </w:rPr>
              <w:t>序号</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b/>
                <w:bCs/>
                <w:sz w:val="24"/>
                <w:szCs w:val="24"/>
              </w:rPr>
              <w:t>单位名称</w:t>
            </w:r>
          </w:p>
        </w:tc>
        <w:tc>
          <w:tcPr>
            <w:tcW w:w="2666"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b/>
                <w:bCs/>
                <w:sz w:val="24"/>
                <w:szCs w:val="24"/>
              </w:rPr>
              <w:t>办公室电话</w:t>
            </w:r>
          </w:p>
        </w:tc>
        <w:tc>
          <w:tcPr>
            <w:tcW w:w="267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b/>
                <w:bCs/>
                <w:sz w:val="24"/>
                <w:szCs w:val="24"/>
              </w:rPr>
              <w:t>值班电话</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区应急局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67804066</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67804066</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2</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区生态环境局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86006200</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86006200</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3</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区公安分局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67821891</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67821616</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4</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区委宣传部</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67833382</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67833382</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5</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区委网信办</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67813675</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67813675</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6</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区大数据局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color w:val="auto"/>
                <w:sz w:val="24"/>
                <w:szCs w:val="24"/>
              </w:rPr>
            </w:pPr>
            <w:r>
              <w:rPr>
                <w:rFonts w:ascii="Times New Roman" w:eastAsia="宋体" w:hAnsi="Times New Roman"/>
                <w:color w:val="auto"/>
                <w:sz w:val="24"/>
                <w:szCs w:val="24"/>
              </w:rPr>
              <w:t>81924869</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color w:val="auto"/>
                <w:sz w:val="24"/>
                <w:szCs w:val="24"/>
              </w:rPr>
            </w:pPr>
            <w:r>
              <w:rPr>
                <w:rFonts w:ascii="Times New Roman" w:eastAsia="宋体" w:hAnsi="Times New Roman"/>
                <w:color w:val="auto"/>
                <w:sz w:val="24"/>
                <w:szCs w:val="24"/>
              </w:rPr>
              <w:t>81924869</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7</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区民政局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color w:val="auto"/>
                <w:sz w:val="24"/>
                <w:szCs w:val="24"/>
              </w:rPr>
            </w:pPr>
            <w:r>
              <w:rPr>
                <w:rFonts w:ascii="Times New Roman" w:eastAsia="宋体" w:hAnsi="Times New Roman"/>
                <w:color w:val="auto"/>
                <w:sz w:val="24"/>
                <w:szCs w:val="24"/>
              </w:rPr>
              <w:t>86015078</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color w:val="auto"/>
                <w:sz w:val="24"/>
                <w:szCs w:val="24"/>
              </w:rPr>
            </w:pPr>
            <w:r>
              <w:rPr>
                <w:rFonts w:ascii="Times New Roman" w:eastAsia="宋体" w:hAnsi="Times New Roman"/>
                <w:color w:val="auto"/>
                <w:sz w:val="24"/>
                <w:szCs w:val="24"/>
              </w:rPr>
              <w:t>86015078</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8</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区财政局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67137660</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67137071</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9</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区人力社保局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67821165</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67583518</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10</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区交通运输委</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86017006</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86017006</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11</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区水利局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67823090</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67822512</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12</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区农业农村委</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86016088</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86016006</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13</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区商务委</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67822006</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67817005</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14</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区卫生健康委</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67808620</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67821602</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15</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区医保局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67800671</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67800671</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16</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区林业局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67821123</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67829897</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17</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区市场监管局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67181550</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67159696</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18</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区气象局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67158185</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67168091</w:t>
            </w:r>
          </w:p>
        </w:tc>
      </w:tr>
      <w:tr w:rsidR="00C82363" w:rsidRPr="00810034">
        <w:trPr>
          <w:trHeight w:val="454"/>
        </w:trPr>
        <w:tc>
          <w:tcPr>
            <w:tcW w:w="999"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19</w:t>
            </w:r>
          </w:p>
        </w:tc>
        <w:tc>
          <w:tcPr>
            <w:tcW w:w="2718"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区消防救援局</w:t>
            </w:r>
          </w:p>
        </w:tc>
        <w:tc>
          <w:tcPr>
            <w:tcW w:w="2666"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67189791</w:t>
            </w:r>
          </w:p>
        </w:tc>
        <w:tc>
          <w:tcPr>
            <w:tcW w:w="267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67189791</w:t>
            </w:r>
          </w:p>
        </w:tc>
      </w:tr>
    </w:tbl>
    <w:p w:rsidR="00C82363" w:rsidRDefault="00C82363" w:rsidP="00C82363">
      <w:pPr>
        <w:pStyle w:val="bd243d13-394e-4bd9-99c9-3a29947aa2a1"/>
        <w:ind w:leftChars="0" w:firstLine="31680"/>
      </w:pPr>
      <w:r>
        <w:t xml:space="preserve"> </w:t>
      </w:r>
      <w:r>
        <w:rPr>
          <w:rFonts w:hint="eastAsia"/>
        </w:rPr>
        <w:t>二、各镇街应急联系电话</w:t>
      </w:r>
    </w:p>
    <w:tbl>
      <w:tblPr>
        <w:tblW w:w="873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934"/>
        <w:gridCol w:w="2587"/>
        <w:gridCol w:w="2587"/>
        <w:gridCol w:w="2622"/>
      </w:tblGrid>
      <w:tr w:rsidR="00C82363" w:rsidRPr="00810034">
        <w:trPr>
          <w:trHeight w:val="404"/>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b/>
                <w:bCs/>
                <w:sz w:val="24"/>
                <w:szCs w:val="24"/>
              </w:rPr>
            </w:pPr>
            <w:r w:rsidRPr="00810034">
              <w:rPr>
                <w:rFonts w:ascii="宋体" w:eastAsia="宋体" w:hAnsi="宋体" w:hint="eastAsia"/>
                <w:b/>
                <w:bCs/>
                <w:sz w:val="24"/>
                <w:szCs w:val="24"/>
              </w:rPr>
              <w:t>序号</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b/>
                <w:bCs/>
                <w:sz w:val="24"/>
                <w:szCs w:val="24"/>
              </w:rPr>
            </w:pPr>
            <w:r w:rsidRPr="00810034">
              <w:rPr>
                <w:rFonts w:ascii="宋体" w:eastAsia="宋体" w:hAnsi="宋体" w:hint="eastAsia"/>
                <w:b/>
                <w:bCs/>
                <w:sz w:val="24"/>
                <w:szCs w:val="24"/>
              </w:rPr>
              <w:t>单位名称</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b/>
                <w:bCs/>
                <w:sz w:val="24"/>
                <w:szCs w:val="24"/>
              </w:rPr>
            </w:pPr>
            <w:r w:rsidRPr="00810034">
              <w:rPr>
                <w:rFonts w:ascii="宋体" w:eastAsia="宋体" w:hAnsi="宋体" w:hint="eastAsia"/>
                <w:b/>
                <w:bCs/>
                <w:sz w:val="24"/>
                <w:szCs w:val="24"/>
              </w:rPr>
              <w:t>办公室电话</w:t>
            </w:r>
          </w:p>
        </w:tc>
        <w:tc>
          <w:tcPr>
            <w:tcW w:w="2622"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b/>
                <w:bCs/>
                <w:sz w:val="24"/>
                <w:szCs w:val="24"/>
              </w:rPr>
            </w:pPr>
            <w:r w:rsidRPr="00810034">
              <w:rPr>
                <w:rFonts w:ascii="宋体" w:eastAsia="宋体" w:hAnsi="宋体" w:hint="eastAsia"/>
                <w:b/>
                <w:bCs/>
                <w:sz w:val="24"/>
                <w:szCs w:val="24"/>
              </w:rPr>
              <w:t>值班电话</w:t>
            </w:r>
          </w:p>
        </w:tc>
      </w:tr>
      <w:tr w:rsidR="00C82363" w:rsidRPr="00810034">
        <w:trPr>
          <w:trHeight w:val="40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石船镇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67255588</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67251096</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2</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洛碛镇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67388008</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67381653</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3</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龙兴镇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67340621</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67341069</w:t>
            </w:r>
          </w:p>
        </w:tc>
      </w:tr>
      <w:tr w:rsidR="00C82363" w:rsidRPr="00810034">
        <w:trPr>
          <w:trHeight w:val="39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4</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茨竹镇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67211064</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67211379</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5</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大湾镇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67213243</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67213243</w:t>
            </w:r>
          </w:p>
        </w:tc>
      </w:tr>
      <w:tr w:rsidR="00C82363" w:rsidRPr="00810034">
        <w:trPr>
          <w:trHeight w:val="40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6</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统景镇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67281149</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67281149</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7</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木耳镇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67488012</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67488012</w:t>
            </w:r>
          </w:p>
        </w:tc>
      </w:tr>
      <w:tr w:rsidR="00C82363" w:rsidRPr="00810034">
        <w:trPr>
          <w:trHeight w:val="39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8</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兴隆镇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67171096</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67171096</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9</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玉峰山镇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67163126</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67163129</w:t>
            </w:r>
          </w:p>
        </w:tc>
      </w:tr>
      <w:tr w:rsidR="00C82363" w:rsidRPr="00810034">
        <w:trPr>
          <w:trHeight w:val="40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10</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古路镇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67166098</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67166361</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11</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大盛镇</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67259133</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67283312</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12</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龙溪街道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67723216</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67071916</w:t>
            </w:r>
          </w:p>
        </w:tc>
      </w:tr>
      <w:tr w:rsidR="00C82363" w:rsidRPr="00810034">
        <w:trPr>
          <w:trHeight w:val="39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13</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龙山街道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67515310</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67913451</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14</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龙塔街道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86812442</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86812400</w:t>
            </w:r>
          </w:p>
        </w:tc>
      </w:tr>
      <w:tr w:rsidR="00C82363" w:rsidRPr="00810034">
        <w:trPr>
          <w:trHeight w:val="40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15</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双凤桥街道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67838752</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67838752</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16</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两路街道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86095199</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86095100</w:t>
            </w:r>
          </w:p>
        </w:tc>
      </w:tr>
      <w:tr w:rsidR="00C82363" w:rsidRPr="00810034">
        <w:trPr>
          <w:trHeight w:val="38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17</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王家街道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67179799</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67179799</w:t>
            </w:r>
          </w:p>
        </w:tc>
      </w:tr>
      <w:tr w:rsidR="00C82363" w:rsidRPr="00810034">
        <w:trPr>
          <w:trHeight w:val="40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18</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双龙湖街道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67816196</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67056544</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19</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回兴街道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67451898</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67451207</w:t>
            </w:r>
          </w:p>
        </w:tc>
      </w:tr>
      <w:tr w:rsidR="00C82363" w:rsidRPr="00810034">
        <w:trPr>
          <w:trHeight w:val="399"/>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20</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宝圣湖街道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60350604</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60350600</w:t>
            </w:r>
          </w:p>
        </w:tc>
      </w:tr>
      <w:tr w:rsidR="00C82363" w:rsidRPr="00810034">
        <w:trPr>
          <w:trHeight w:val="400"/>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21</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仙桃街道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67585959</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67586622</w:t>
            </w:r>
          </w:p>
        </w:tc>
      </w:tr>
      <w:tr w:rsidR="00C82363" w:rsidRPr="00810034">
        <w:trPr>
          <w:trHeight w:val="405"/>
          <w:jc w:val="center"/>
        </w:trPr>
        <w:tc>
          <w:tcPr>
            <w:tcW w:w="934"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sz w:val="24"/>
                <w:szCs w:val="24"/>
              </w:rPr>
              <w:t>22</w:t>
            </w:r>
          </w:p>
        </w:tc>
        <w:tc>
          <w:tcPr>
            <w:tcW w:w="2587" w:type="dxa"/>
            <w:vAlign w:val="center"/>
          </w:tcPr>
          <w:p w:rsidR="00C82363" w:rsidRPr="00810034" w:rsidRDefault="00C82363">
            <w:pPr>
              <w:pStyle w:val="bd243d13-394e-4bd9-99c9-3a29947aa2a1"/>
              <w:snapToGrid w:val="0"/>
              <w:spacing w:line="240" w:lineRule="auto"/>
              <w:ind w:leftChars="0" w:firstLineChars="0" w:firstLine="0"/>
              <w:jc w:val="center"/>
              <w:rPr>
                <w:rFonts w:ascii="宋体" w:eastAsia="宋体" w:hAnsi="宋体"/>
                <w:sz w:val="24"/>
                <w:szCs w:val="24"/>
              </w:rPr>
            </w:pPr>
            <w:r w:rsidRPr="00810034">
              <w:rPr>
                <w:rFonts w:ascii="宋体" w:eastAsia="宋体" w:hAnsi="宋体" w:hint="eastAsia"/>
                <w:sz w:val="24"/>
                <w:szCs w:val="24"/>
              </w:rPr>
              <w:t>悦来街道</w:t>
            </w:r>
          </w:p>
        </w:tc>
        <w:tc>
          <w:tcPr>
            <w:tcW w:w="2587"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67481299</w:t>
            </w:r>
          </w:p>
        </w:tc>
        <w:tc>
          <w:tcPr>
            <w:tcW w:w="2622" w:type="dxa"/>
            <w:vAlign w:val="center"/>
          </w:tcPr>
          <w:p w:rsidR="00C82363" w:rsidRDefault="00C82363">
            <w:pPr>
              <w:pStyle w:val="bd243d13-394e-4bd9-99c9-3a29947aa2a1"/>
              <w:snapToGrid w:val="0"/>
              <w:spacing w:line="240" w:lineRule="auto"/>
              <w:ind w:leftChars="0" w:firstLineChars="0" w:firstLine="0"/>
              <w:jc w:val="center"/>
              <w:rPr>
                <w:rFonts w:ascii="Times New Roman" w:eastAsia="宋体" w:hAnsi="Times New Roman"/>
                <w:sz w:val="24"/>
                <w:szCs w:val="24"/>
              </w:rPr>
            </w:pPr>
            <w:r>
              <w:rPr>
                <w:rFonts w:ascii="Times New Roman" w:eastAsia="宋体" w:hAnsi="Times New Roman"/>
                <w:sz w:val="24"/>
                <w:szCs w:val="24"/>
              </w:rPr>
              <w:t>67481299</w:t>
            </w:r>
          </w:p>
        </w:tc>
      </w:tr>
    </w:tbl>
    <w:p w:rsidR="00C82363" w:rsidRDefault="00C82363" w:rsidP="00C82363">
      <w:pPr>
        <w:pStyle w:val="bd243d13-394e-4bd9-99c9-3a29947aa2a1"/>
        <w:ind w:leftChars="0" w:firstLine="31680"/>
      </w:pPr>
    </w:p>
    <w:p w:rsidR="00C82363" w:rsidRDefault="00C82363" w:rsidP="00AA1EE7">
      <w:pPr>
        <w:pStyle w:val="bd243d13-394e-4bd9-99c9-3a29947aa2a1"/>
        <w:ind w:leftChars="0" w:firstLine="31680"/>
      </w:pPr>
    </w:p>
    <w:p w:rsidR="00C82363" w:rsidRDefault="00C82363" w:rsidP="00AA1EE7">
      <w:pPr>
        <w:pStyle w:val="bd243d13-394e-4bd9-99c9-3a29947aa2a1"/>
        <w:ind w:leftChars="0" w:firstLine="31680"/>
      </w:pPr>
    </w:p>
    <w:p w:rsidR="00C82363" w:rsidRDefault="00C82363" w:rsidP="003E67EC">
      <w:pPr>
        <w:pStyle w:val="bd243d13-394e-4bd9-99c9-3a29947aa2a1"/>
        <w:ind w:leftChars="0" w:firstLine="31680"/>
      </w:pPr>
      <w:r>
        <w:rPr>
          <w:rFonts w:hint="eastAsia"/>
        </w:rPr>
        <w:t>公开方式：公开</w:t>
      </w:r>
    </w:p>
    <w:sectPr w:rsidR="00C82363" w:rsidSect="008F4C66">
      <w:pgSz w:w="11906" w:h="16838"/>
      <w:pgMar w:top="2098" w:right="1474" w:bottom="1984" w:left="1588" w:header="851" w:footer="1417" w:gutter="0"/>
      <w:cols w:space="0"/>
      <w:docGrid w:type="linesAndChars" w:linePitch="579" w:charSpace="-84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82363" w:rsidRDefault="00C82363" w:rsidP="008F4C66">
      <w:r>
        <w:separator/>
      </w:r>
    </w:p>
  </w:endnote>
  <w:endnote w:type="continuationSeparator" w:id="1">
    <w:p w:rsidR="00C82363" w:rsidRDefault="00C82363" w:rsidP="008F4C6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es New Roman"/>
    <w:panose1 w:val="02010600030101010101"/>
    <w:charset w:val="86"/>
    <w:family w:val="auto"/>
    <w:pitch w:val="variable"/>
    <w:sig w:usb0="00000003" w:usb1="288F0000" w:usb2="00000016" w:usb3="00000000" w:csb0="00040001" w:csb1="00000000"/>
  </w:font>
  <w:font w:name="Time New Roman">
    <w:altName w:val="Cambria"/>
    <w:panose1 w:val="00000000000000000000"/>
    <w:charset w:val="00"/>
    <w:family w:val="roman"/>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微软雅黑">
    <w:panose1 w:val="020B0503020204020204"/>
    <w:charset w:val="86"/>
    <w:family w:val="swiss"/>
    <w:pitch w:val="variable"/>
    <w:sig w:usb0="80000287" w:usb1="280F3C52" w:usb2="00000016" w:usb3="00000000" w:csb0="0004001F" w:csb1="00000000"/>
  </w:font>
  <w:font w:name="黑体">
    <w:altName w:val="um"/>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10002FF" w:usb1="4000ACFF" w:usb2="00000009" w:usb3="00000000" w:csb0="0000019F" w:csb1="00000000"/>
  </w:font>
  <w:font w:name="MS Mincho">
    <w:altName w:val="昒? 瀡?"/>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2363" w:rsidRDefault="00C82363">
    <w:pPr>
      <w:pStyle w:val="Footer"/>
    </w:pPr>
    <w:r>
      <w:rPr>
        <w:noProof/>
      </w:rPr>
      <w:pict>
        <v:shapetype id="_x0000_t202" coordsize="21600,21600" o:spt="202" path="m,l,21600r21600,l21600,xe">
          <v:stroke joinstyle="miter"/>
          <v:path gradientshapeok="t" o:connecttype="rect"/>
        </v:shapetype>
        <v:shape id="_x0000_s2049" type="#_x0000_t202" style="position:absolute;margin-left:104pt;margin-top:0;width:2in;height:2in;z-index:251660288;mso-wrap-style:none;mso-position-horizontal:outside;mso-position-horizontal-relative:margin" filled="f" stroked="f" strokeweight=".5pt">
          <v:textbox style="mso-fit-shape-to-text:t" inset="0,0,0,0">
            <w:txbxContent>
              <w:p w:rsidR="00C82363" w:rsidRDefault="00C82363">
                <w:pPr>
                  <w:pStyle w:val="Footer"/>
                  <w:rPr>
                    <w:rFonts w:ascii="宋体" w:eastAsia="宋体" w:hAnsi="宋体" w:cs="宋体"/>
                    <w:sz w:val="28"/>
                    <w:szCs w:val="28"/>
                  </w:rPr>
                </w:pPr>
                <w:r>
                  <w:rPr>
                    <w:rFonts w:ascii="宋体" w:eastAsia="宋体" w:hAnsi="宋体" w:cs="宋体"/>
                    <w:sz w:val="28"/>
                    <w:szCs w:val="28"/>
                  </w:rPr>
                  <w:t xml:space="preserve">— </w:t>
                </w:r>
                <w:r>
                  <w:rPr>
                    <w:rFonts w:ascii="宋体" w:eastAsia="宋体" w:hAnsi="宋体" w:cs="宋体"/>
                    <w:sz w:val="28"/>
                    <w:szCs w:val="28"/>
                  </w:rPr>
                  <w:fldChar w:fldCharType="begin"/>
                </w:r>
                <w:r>
                  <w:rPr>
                    <w:rFonts w:ascii="宋体" w:eastAsia="宋体" w:hAnsi="宋体" w:cs="宋体"/>
                    <w:sz w:val="28"/>
                    <w:szCs w:val="28"/>
                  </w:rPr>
                  <w:instrText xml:space="preserve"> PAGE  \* MERGEFORMAT </w:instrText>
                </w:r>
                <w:r>
                  <w:rPr>
                    <w:rFonts w:ascii="宋体" w:eastAsia="宋体" w:hAnsi="宋体" w:cs="宋体"/>
                    <w:sz w:val="28"/>
                    <w:szCs w:val="28"/>
                  </w:rPr>
                  <w:fldChar w:fldCharType="separate"/>
                </w:r>
                <w:r>
                  <w:rPr>
                    <w:rFonts w:ascii="宋体" w:eastAsia="宋体" w:hAnsi="宋体" w:cs="宋体"/>
                    <w:noProof/>
                    <w:sz w:val="28"/>
                    <w:szCs w:val="28"/>
                  </w:rPr>
                  <w:t>20</w:t>
                </w:r>
                <w:r>
                  <w:rPr>
                    <w:rFonts w:ascii="宋体" w:eastAsia="宋体" w:hAnsi="宋体" w:cs="宋体"/>
                    <w:sz w:val="28"/>
                    <w:szCs w:val="28"/>
                  </w:rPr>
                  <w:fldChar w:fldCharType="end"/>
                </w:r>
                <w:r>
                  <w:rPr>
                    <w:rFonts w:ascii="宋体" w:eastAsia="宋体" w:hAnsi="宋体" w:cs="宋体"/>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82363" w:rsidRDefault="00C82363" w:rsidP="008F4C66">
      <w:r>
        <w:separator/>
      </w:r>
    </w:p>
  </w:footnote>
  <w:footnote w:type="continuationSeparator" w:id="1">
    <w:p w:rsidR="00C82363" w:rsidRDefault="00C82363" w:rsidP="008F4C6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F16FA1"/>
    <w:multiLevelType w:val="multilevel"/>
    <w:tmpl w:val="27F16FA1"/>
    <w:lvl w:ilvl="0">
      <w:start w:val="1"/>
      <w:numFmt w:val="taiwaneseDigital"/>
      <w:pStyle w:val="72c23eac-05e5-485a-9b67-1c7dbe1944ac"/>
      <w:suff w:val="nothing"/>
      <w:lvlText w:val="%1、"/>
      <w:lvlJc w:val="left"/>
      <w:pPr>
        <w:tabs>
          <w:tab w:val="left" w:pos="357"/>
        </w:tabs>
        <w:ind w:left="357" w:hanging="357"/>
      </w:pPr>
      <w:rPr>
        <w:rFonts w:cs="Times New Roman"/>
        <w:b/>
      </w:rPr>
    </w:lvl>
    <w:lvl w:ilvl="1">
      <w:start w:val="1"/>
      <w:numFmt w:val="taiwaneseDigital"/>
      <w:pStyle w:val="433e907c-22c4-47aa-a0e2-5f03f9a2dc40"/>
      <w:suff w:val="nothing"/>
      <w:lvlText w:val="（%2）"/>
      <w:lvlJc w:val="left"/>
      <w:pPr>
        <w:tabs>
          <w:tab w:val="left" w:pos="357"/>
        </w:tabs>
        <w:ind w:left="357" w:hanging="357"/>
      </w:pPr>
      <w:rPr>
        <w:rFonts w:cs="Times New Roman"/>
        <w:b/>
      </w:rPr>
    </w:lvl>
    <w:lvl w:ilvl="2">
      <w:start w:val="1"/>
      <w:numFmt w:val="decimal"/>
      <w:pStyle w:val="0d7c9686-6cc7-4172-bf19-7b8f5cff8c60"/>
      <w:suff w:val="nothing"/>
      <w:lvlText w:val="%3."/>
      <w:lvlJc w:val="left"/>
      <w:pPr>
        <w:tabs>
          <w:tab w:val="left" w:pos="357"/>
        </w:tabs>
        <w:ind w:left="357" w:hanging="357"/>
      </w:pPr>
      <w:rPr>
        <w:rFonts w:cs="Times New Roman"/>
        <w:b/>
      </w:rPr>
    </w:lvl>
    <w:lvl w:ilvl="3">
      <w:start w:val="1"/>
      <w:numFmt w:val="decimal"/>
      <w:suff w:val="nothing"/>
      <w:lvlText w:val="(%4)"/>
      <w:lvlJc w:val="left"/>
      <w:pPr>
        <w:tabs>
          <w:tab w:val="left" w:pos="357"/>
        </w:tabs>
        <w:ind w:left="357" w:hanging="357"/>
      </w:pPr>
      <w:rPr>
        <w:rFonts w:cs="Times New Roman"/>
        <w:b/>
      </w:rPr>
    </w:lvl>
    <w:lvl w:ilvl="4">
      <w:start w:val="1"/>
      <w:numFmt w:val="decimal"/>
      <w:lvlText w:val="%1.%2.%3.%4.%5"/>
      <w:lvlJc w:val="left"/>
      <w:pPr>
        <w:ind w:left="2551" w:hanging="850"/>
      </w:pPr>
      <w:rPr>
        <w:rFonts w:cs="Times New Roman"/>
      </w:rPr>
    </w:lvl>
    <w:lvl w:ilvl="5">
      <w:start w:val="1"/>
      <w:numFmt w:val="decimal"/>
      <w:lvlText w:val="%1.%2.%3.%4.%5.%6"/>
      <w:lvlJc w:val="left"/>
      <w:pPr>
        <w:ind w:left="3260" w:hanging="1134"/>
      </w:pPr>
      <w:rPr>
        <w:rFonts w:cs="Times New Roman"/>
      </w:rPr>
    </w:lvl>
    <w:lvl w:ilvl="6">
      <w:start w:val="1"/>
      <w:numFmt w:val="decimal"/>
      <w:lvlText w:val="%1.%2.%3.%4.%5.%6.%7"/>
      <w:lvlJc w:val="left"/>
      <w:pPr>
        <w:ind w:left="3827" w:hanging="1276"/>
      </w:pPr>
      <w:rPr>
        <w:rFonts w:cs="Times New Roman"/>
      </w:rPr>
    </w:lvl>
    <w:lvl w:ilvl="7">
      <w:start w:val="1"/>
      <w:numFmt w:val="decimal"/>
      <w:lvlText w:val="%1.%2.%3.%4.%5.%6.%7.%8"/>
      <w:lvlJc w:val="left"/>
      <w:pPr>
        <w:ind w:left="4394" w:hanging="1418"/>
      </w:pPr>
      <w:rPr>
        <w:rFonts w:cs="Times New Roman"/>
      </w:rPr>
    </w:lvl>
    <w:lvl w:ilvl="8">
      <w:start w:val="1"/>
      <w:numFmt w:val="decimal"/>
      <w:lvlText w:val="%1.%2.%3.%4.%5.%6.%7.%8.%9"/>
      <w:lvlJc w:val="left"/>
      <w:pPr>
        <w:ind w:left="5102" w:hanging="1700"/>
      </w:pPr>
      <w:rPr>
        <w:rFonts w:cs="Times New Roman"/>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2"/>
  <w:defaultTabStop w:val="420"/>
  <w:drawingGridHorizontalSpacing w:val="158"/>
  <w:drawingGridVerticalSpacing w:val="295"/>
  <w:noPunctuationKerning/>
  <w:characterSpacingControl w:val="compressPunctuation"/>
  <w:noLineBreaksAfter w:lang="zh-CN" w:val="$([{£¥·‘“〈《「『【〔〖〝﹙﹛﹝＄（．［｛￡￥"/>
  <w:noLineBreaksBefore w:lang="zh-CN" w:val="!%),.:;&gt;?]}¢¨°·ˇˉ―‖’”…‰′″›℃∶、。〃〉》」』】〕〗〞︶︺︾﹀﹄﹚﹜﹞！＂％＇），．：；？］｀｜｝～￠"/>
  <w:hdrShapeDefaults>
    <o:shapedefaults v:ext="edit" spidmax="2050"/>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7EDF755D"/>
    <w:rsid w:val="B9FB204B"/>
    <w:rsid w:val="BFFA4231"/>
    <w:rsid w:val="DF77EBE2"/>
    <w:rsid w:val="FB2D157B"/>
    <w:rsid w:val="00051DC0"/>
    <w:rsid w:val="00110ED0"/>
    <w:rsid w:val="00173BCE"/>
    <w:rsid w:val="002551C4"/>
    <w:rsid w:val="003205F5"/>
    <w:rsid w:val="003E67EC"/>
    <w:rsid w:val="00583516"/>
    <w:rsid w:val="0064094E"/>
    <w:rsid w:val="006B09BA"/>
    <w:rsid w:val="0075684E"/>
    <w:rsid w:val="007C14C8"/>
    <w:rsid w:val="00810034"/>
    <w:rsid w:val="008E26F6"/>
    <w:rsid w:val="008F3F9F"/>
    <w:rsid w:val="008F4C66"/>
    <w:rsid w:val="00975E45"/>
    <w:rsid w:val="00A14ED9"/>
    <w:rsid w:val="00AA1EE7"/>
    <w:rsid w:val="00C7500F"/>
    <w:rsid w:val="00C82363"/>
    <w:rsid w:val="00C94367"/>
    <w:rsid w:val="00CB045E"/>
    <w:rsid w:val="00D50ECC"/>
    <w:rsid w:val="00DA2802"/>
    <w:rsid w:val="00E6162D"/>
    <w:rsid w:val="00E81301"/>
    <w:rsid w:val="00EE47A8"/>
    <w:rsid w:val="00F14974"/>
    <w:rsid w:val="00F87259"/>
    <w:rsid w:val="00FF10B8"/>
    <w:rsid w:val="059C4B0C"/>
    <w:rsid w:val="06FB25BC"/>
    <w:rsid w:val="08BF5E5A"/>
    <w:rsid w:val="09331E83"/>
    <w:rsid w:val="0C201306"/>
    <w:rsid w:val="105F448D"/>
    <w:rsid w:val="10FD6771"/>
    <w:rsid w:val="1338484A"/>
    <w:rsid w:val="16E86EC4"/>
    <w:rsid w:val="1B995953"/>
    <w:rsid w:val="1D644DCB"/>
    <w:rsid w:val="1E075364"/>
    <w:rsid w:val="1F3F6EEA"/>
    <w:rsid w:val="264E1E34"/>
    <w:rsid w:val="29375240"/>
    <w:rsid w:val="2CBD0053"/>
    <w:rsid w:val="2DA03BFD"/>
    <w:rsid w:val="2DB9081B"/>
    <w:rsid w:val="2DC85545"/>
    <w:rsid w:val="31BD0020"/>
    <w:rsid w:val="33BB0D1B"/>
    <w:rsid w:val="3A40479E"/>
    <w:rsid w:val="3FE26827"/>
    <w:rsid w:val="45D65FB6"/>
    <w:rsid w:val="4635213E"/>
    <w:rsid w:val="4BE91E53"/>
    <w:rsid w:val="4C24193E"/>
    <w:rsid w:val="4C8E14F5"/>
    <w:rsid w:val="4EC54E1A"/>
    <w:rsid w:val="5D1C654D"/>
    <w:rsid w:val="5DAA2AC2"/>
    <w:rsid w:val="5DBF6BBC"/>
    <w:rsid w:val="5EB12DEE"/>
    <w:rsid w:val="5FFD4AF1"/>
    <w:rsid w:val="64412D3D"/>
    <w:rsid w:val="72416CB6"/>
    <w:rsid w:val="77655873"/>
    <w:rsid w:val="7D8956DB"/>
    <w:rsid w:val="7EDF755D"/>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hmetcnv"/>
  <w:smartTagType w:namespaceuri="urn:schemas-microsoft-com:office:smarttags" w:name="chsdate"/>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locked="1" w:uiPriority="0"/>
    <w:lsdException w:name="footer" w:locked="1" w:uiPriority="0"/>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locked="1" w:uiPriority="0"/>
    <w:lsdException w:name="Body Text Indent" w:locked="1" w:uiPriority="0"/>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locked="1" w:uiPriority="0"/>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1" w:uiPriority="0"/>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F4C66"/>
    <w:pPr>
      <w:widowControl w:val="0"/>
      <w:jc w:val="both"/>
    </w:pPr>
    <w:rPr>
      <w:rFonts w:ascii="Time New Roman" w:eastAsia="仿宋" w:hAnsi="Time New Roman"/>
      <w:sz w:val="32"/>
    </w:rPr>
  </w:style>
  <w:style w:type="paragraph" w:styleId="Heading1">
    <w:name w:val="heading 1"/>
    <w:basedOn w:val="Normal"/>
    <w:next w:val="Normal"/>
    <w:link w:val="Heading1Char"/>
    <w:uiPriority w:val="99"/>
    <w:qFormat/>
    <w:rsid w:val="008F4C66"/>
    <w:pPr>
      <w:keepNext/>
      <w:keepLines/>
      <w:spacing w:before="480" w:after="80"/>
      <w:outlineLvl w:val="0"/>
    </w:pPr>
    <w:rPr>
      <w:rFonts w:ascii="Cambria" w:eastAsia="宋体" w:hAnsi="Cambria"/>
      <w:color w:val="365F91"/>
      <w:sz w:val="48"/>
      <w:szCs w:val="48"/>
    </w:rPr>
  </w:style>
  <w:style w:type="paragraph" w:styleId="Heading2">
    <w:name w:val="heading 2"/>
    <w:basedOn w:val="Normal"/>
    <w:next w:val="Normal"/>
    <w:link w:val="Heading2Char"/>
    <w:uiPriority w:val="99"/>
    <w:qFormat/>
    <w:rsid w:val="008F4C66"/>
    <w:pPr>
      <w:keepNext/>
      <w:keepLines/>
      <w:spacing w:before="160" w:after="80"/>
      <w:outlineLvl w:val="1"/>
    </w:pPr>
    <w:rPr>
      <w:rFonts w:ascii="Cambria" w:eastAsia="宋体" w:hAnsi="Cambria"/>
      <w:color w:val="365F91"/>
      <w:sz w:val="40"/>
      <w:szCs w:val="40"/>
    </w:rPr>
  </w:style>
  <w:style w:type="paragraph" w:styleId="Heading3">
    <w:name w:val="heading 3"/>
    <w:basedOn w:val="Normal"/>
    <w:next w:val="Normal"/>
    <w:link w:val="Heading3Char"/>
    <w:uiPriority w:val="99"/>
    <w:qFormat/>
    <w:rsid w:val="008F4C66"/>
    <w:pPr>
      <w:keepNext/>
      <w:keepLines/>
      <w:spacing w:before="160" w:after="80"/>
      <w:outlineLvl w:val="2"/>
    </w:pPr>
    <w:rPr>
      <w:rFonts w:ascii="Cambria" w:eastAsia="宋体" w:hAnsi="Cambria"/>
      <w:color w:val="365F91"/>
      <w:szCs w:val="32"/>
    </w:rPr>
  </w:style>
  <w:style w:type="paragraph" w:styleId="Heading4">
    <w:name w:val="heading 4"/>
    <w:basedOn w:val="Normal"/>
    <w:next w:val="Normal"/>
    <w:link w:val="Heading4Char"/>
    <w:uiPriority w:val="99"/>
    <w:qFormat/>
    <w:rsid w:val="008F4C66"/>
    <w:pPr>
      <w:keepNext/>
      <w:keepLines/>
      <w:spacing w:before="80" w:after="40"/>
      <w:outlineLvl w:val="3"/>
    </w:pPr>
    <w:rPr>
      <w:color w:val="365F91"/>
      <w:sz w:val="28"/>
      <w:szCs w:val="28"/>
    </w:rPr>
  </w:style>
  <w:style w:type="paragraph" w:styleId="Heading5">
    <w:name w:val="heading 5"/>
    <w:basedOn w:val="Normal"/>
    <w:next w:val="Normal"/>
    <w:link w:val="Heading5Char"/>
    <w:uiPriority w:val="99"/>
    <w:qFormat/>
    <w:rsid w:val="008F4C66"/>
    <w:pPr>
      <w:keepNext/>
      <w:keepLines/>
      <w:spacing w:before="80" w:after="40"/>
      <w:outlineLvl w:val="4"/>
    </w:pPr>
    <w:rPr>
      <w:color w:val="365F91"/>
      <w:sz w:val="24"/>
      <w:szCs w:val="24"/>
    </w:rPr>
  </w:style>
  <w:style w:type="paragraph" w:styleId="Heading6">
    <w:name w:val="heading 6"/>
    <w:basedOn w:val="Normal"/>
    <w:next w:val="Normal"/>
    <w:link w:val="Heading6Char"/>
    <w:uiPriority w:val="99"/>
    <w:qFormat/>
    <w:rsid w:val="008F4C66"/>
    <w:pPr>
      <w:keepNext/>
      <w:keepLines/>
      <w:spacing w:before="40"/>
      <w:outlineLvl w:val="5"/>
    </w:pPr>
    <w:rPr>
      <w:b/>
      <w:bCs/>
      <w:color w:val="365F91"/>
    </w:rPr>
  </w:style>
  <w:style w:type="paragraph" w:styleId="Heading7">
    <w:name w:val="heading 7"/>
    <w:basedOn w:val="Normal"/>
    <w:next w:val="Normal"/>
    <w:link w:val="Heading7Char"/>
    <w:uiPriority w:val="99"/>
    <w:qFormat/>
    <w:rsid w:val="008F4C66"/>
    <w:pPr>
      <w:keepNext/>
      <w:keepLines/>
      <w:spacing w:before="40"/>
      <w:outlineLvl w:val="6"/>
    </w:pPr>
    <w:rPr>
      <w:b/>
      <w:bCs/>
      <w:color w:val="595959"/>
    </w:rPr>
  </w:style>
  <w:style w:type="paragraph" w:styleId="Heading8">
    <w:name w:val="heading 8"/>
    <w:basedOn w:val="Normal"/>
    <w:next w:val="Normal"/>
    <w:link w:val="Heading8Char"/>
    <w:uiPriority w:val="99"/>
    <w:qFormat/>
    <w:rsid w:val="008F4C66"/>
    <w:pPr>
      <w:keepNext/>
      <w:keepLines/>
      <w:outlineLvl w:val="7"/>
    </w:pPr>
    <w:rPr>
      <w:color w:val="595959"/>
    </w:rPr>
  </w:style>
  <w:style w:type="paragraph" w:styleId="Heading9">
    <w:name w:val="heading 9"/>
    <w:basedOn w:val="Normal"/>
    <w:next w:val="Normal"/>
    <w:link w:val="Heading9Char"/>
    <w:uiPriority w:val="99"/>
    <w:qFormat/>
    <w:rsid w:val="008F4C66"/>
    <w:pPr>
      <w:keepNext/>
      <w:keepLines/>
      <w:outlineLvl w:val="8"/>
    </w:pPr>
    <w:rPr>
      <w:rFonts w:eastAsia="宋体"/>
      <w:color w:val="595959"/>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8F4C66"/>
    <w:rPr>
      <w:rFonts w:ascii="Cambria" w:eastAsia="宋体" w:hAnsi="Cambria" w:cs="Times New Roman"/>
      <w:color w:val="365F91"/>
      <w:sz w:val="48"/>
      <w:szCs w:val="48"/>
    </w:rPr>
  </w:style>
  <w:style w:type="character" w:customStyle="1" w:styleId="Heading2Char">
    <w:name w:val="Heading 2 Char"/>
    <w:basedOn w:val="DefaultParagraphFont"/>
    <w:link w:val="Heading2"/>
    <w:uiPriority w:val="99"/>
    <w:semiHidden/>
    <w:locked/>
    <w:rsid w:val="008F4C66"/>
    <w:rPr>
      <w:rFonts w:ascii="Cambria" w:eastAsia="宋体" w:hAnsi="Cambria" w:cs="Times New Roman"/>
      <w:color w:val="365F91"/>
      <w:sz w:val="40"/>
      <w:szCs w:val="40"/>
    </w:rPr>
  </w:style>
  <w:style w:type="character" w:customStyle="1" w:styleId="Heading3Char">
    <w:name w:val="Heading 3 Char"/>
    <w:basedOn w:val="DefaultParagraphFont"/>
    <w:link w:val="Heading3"/>
    <w:uiPriority w:val="99"/>
    <w:semiHidden/>
    <w:locked/>
    <w:rsid w:val="008F4C66"/>
    <w:rPr>
      <w:rFonts w:ascii="Cambria" w:eastAsia="宋体" w:hAnsi="Cambria" w:cs="Times New Roman"/>
      <w:color w:val="365F91"/>
      <w:sz w:val="32"/>
      <w:szCs w:val="32"/>
    </w:rPr>
  </w:style>
  <w:style w:type="character" w:customStyle="1" w:styleId="Heading4Char">
    <w:name w:val="Heading 4 Char"/>
    <w:basedOn w:val="DefaultParagraphFont"/>
    <w:link w:val="Heading4"/>
    <w:uiPriority w:val="99"/>
    <w:semiHidden/>
    <w:locked/>
    <w:rsid w:val="008F4C66"/>
    <w:rPr>
      <w:rFonts w:cs="Times New Roman"/>
      <w:color w:val="365F91"/>
      <w:sz w:val="28"/>
      <w:szCs w:val="28"/>
    </w:rPr>
  </w:style>
  <w:style w:type="character" w:customStyle="1" w:styleId="Heading5Char">
    <w:name w:val="Heading 5 Char"/>
    <w:basedOn w:val="DefaultParagraphFont"/>
    <w:link w:val="Heading5"/>
    <w:uiPriority w:val="99"/>
    <w:semiHidden/>
    <w:locked/>
    <w:rsid w:val="008F4C66"/>
    <w:rPr>
      <w:rFonts w:cs="Times New Roman"/>
      <w:color w:val="365F91"/>
      <w:sz w:val="24"/>
      <w:szCs w:val="24"/>
    </w:rPr>
  </w:style>
  <w:style w:type="character" w:customStyle="1" w:styleId="Heading6Char">
    <w:name w:val="Heading 6 Char"/>
    <w:basedOn w:val="DefaultParagraphFont"/>
    <w:link w:val="Heading6"/>
    <w:uiPriority w:val="99"/>
    <w:semiHidden/>
    <w:locked/>
    <w:rsid w:val="008F4C66"/>
    <w:rPr>
      <w:rFonts w:cs="Times New Roman"/>
      <w:b/>
      <w:bCs/>
      <w:color w:val="365F91"/>
    </w:rPr>
  </w:style>
  <w:style w:type="character" w:customStyle="1" w:styleId="Heading7Char">
    <w:name w:val="Heading 7 Char"/>
    <w:basedOn w:val="DefaultParagraphFont"/>
    <w:link w:val="Heading7"/>
    <w:uiPriority w:val="99"/>
    <w:semiHidden/>
    <w:locked/>
    <w:rsid w:val="008F4C66"/>
    <w:rPr>
      <w:rFonts w:cs="Times New Roman"/>
      <w:b/>
      <w:bCs/>
      <w:color w:val="595959"/>
    </w:rPr>
  </w:style>
  <w:style w:type="character" w:customStyle="1" w:styleId="Heading8Char">
    <w:name w:val="Heading 8 Char"/>
    <w:basedOn w:val="DefaultParagraphFont"/>
    <w:link w:val="Heading8"/>
    <w:uiPriority w:val="99"/>
    <w:semiHidden/>
    <w:locked/>
    <w:rsid w:val="008F4C66"/>
    <w:rPr>
      <w:rFonts w:cs="Times New Roman"/>
      <w:color w:val="595959"/>
    </w:rPr>
  </w:style>
  <w:style w:type="character" w:customStyle="1" w:styleId="Heading9Char">
    <w:name w:val="Heading 9 Char"/>
    <w:basedOn w:val="DefaultParagraphFont"/>
    <w:link w:val="Heading9"/>
    <w:uiPriority w:val="99"/>
    <w:semiHidden/>
    <w:locked/>
    <w:rsid w:val="008F4C66"/>
    <w:rPr>
      <w:rFonts w:eastAsia="宋体" w:cs="Times New Roman"/>
      <w:color w:val="595959"/>
    </w:rPr>
  </w:style>
  <w:style w:type="paragraph" w:styleId="BodyTextIndent">
    <w:name w:val="Body Text Indent"/>
    <w:basedOn w:val="Normal"/>
    <w:link w:val="BodyTextIndentChar"/>
    <w:uiPriority w:val="99"/>
    <w:semiHidden/>
    <w:rsid w:val="008F4C66"/>
    <w:pPr>
      <w:spacing w:after="120"/>
      <w:ind w:leftChars="200" w:left="420"/>
    </w:pPr>
  </w:style>
  <w:style w:type="character" w:customStyle="1" w:styleId="BodyTextIndentChar">
    <w:name w:val="Body Text Indent Char"/>
    <w:basedOn w:val="DefaultParagraphFont"/>
    <w:link w:val="BodyTextIndent"/>
    <w:uiPriority w:val="99"/>
    <w:semiHidden/>
    <w:locked/>
    <w:rsid w:val="008F4C66"/>
    <w:rPr>
      <w:rFonts w:ascii="Time New Roman" w:eastAsia="仿宋" w:hAnsi="Time New Roman" w:cs="Times New Roman"/>
      <w:kern w:val="2"/>
      <w:sz w:val="22"/>
      <w:szCs w:val="22"/>
    </w:rPr>
  </w:style>
  <w:style w:type="paragraph" w:styleId="Footer">
    <w:name w:val="footer"/>
    <w:basedOn w:val="Normal"/>
    <w:link w:val="FooterChar"/>
    <w:uiPriority w:val="99"/>
    <w:rsid w:val="008F4C66"/>
    <w:pPr>
      <w:tabs>
        <w:tab w:val="center" w:pos="4153"/>
        <w:tab w:val="right" w:pos="8306"/>
      </w:tabs>
      <w:snapToGrid w:val="0"/>
      <w:jc w:val="left"/>
    </w:pPr>
    <w:rPr>
      <w:sz w:val="18"/>
    </w:rPr>
  </w:style>
  <w:style w:type="character" w:customStyle="1" w:styleId="FooterChar">
    <w:name w:val="Footer Char"/>
    <w:basedOn w:val="DefaultParagraphFont"/>
    <w:link w:val="Footer"/>
    <w:uiPriority w:val="99"/>
    <w:semiHidden/>
    <w:rsid w:val="00751DEE"/>
    <w:rPr>
      <w:rFonts w:ascii="Time New Roman" w:eastAsia="仿宋" w:hAnsi="Time New Roman"/>
      <w:sz w:val="18"/>
      <w:szCs w:val="18"/>
    </w:rPr>
  </w:style>
  <w:style w:type="paragraph" w:styleId="Header">
    <w:name w:val="header"/>
    <w:basedOn w:val="Normal"/>
    <w:link w:val="HeaderChar"/>
    <w:uiPriority w:val="99"/>
    <w:rsid w:val="008F4C6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customStyle="1" w:styleId="HeaderChar">
    <w:name w:val="Header Char"/>
    <w:basedOn w:val="DefaultParagraphFont"/>
    <w:link w:val="Header"/>
    <w:uiPriority w:val="99"/>
    <w:semiHidden/>
    <w:rsid w:val="00751DEE"/>
    <w:rPr>
      <w:rFonts w:ascii="Time New Roman" w:eastAsia="仿宋" w:hAnsi="Time New Roman"/>
      <w:sz w:val="18"/>
      <w:szCs w:val="18"/>
    </w:rPr>
  </w:style>
  <w:style w:type="paragraph" w:styleId="TOC1">
    <w:name w:val="toc 1"/>
    <w:basedOn w:val="Normal"/>
    <w:next w:val="Normal"/>
    <w:uiPriority w:val="99"/>
    <w:rsid w:val="008F4C66"/>
  </w:style>
  <w:style w:type="paragraph" w:styleId="Subtitle">
    <w:name w:val="Subtitle"/>
    <w:basedOn w:val="Normal"/>
    <w:next w:val="Normal"/>
    <w:link w:val="SubtitleChar"/>
    <w:uiPriority w:val="99"/>
    <w:qFormat/>
    <w:rsid w:val="008F4C66"/>
    <w:pPr>
      <w:spacing w:after="160"/>
      <w:jc w:val="center"/>
    </w:pPr>
    <w:rPr>
      <w:rFonts w:ascii="Cambria" w:eastAsia="宋体" w:hAnsi="Cambria"/>
      <w:color w:val="595959"/>
      <w:spacing w:val="15"/>
      <w:sz w:val="28"/>
      <w:szCs w:val="28"/>
    </w:rPr>
  </w:style>
  <w:style w:type="character" w:customStyle="1" w:styleId="SubtitleChar">
    <w:name w:val="Subtitle Char"/>
    <w:basedOn w:val="DefaultParagraphFont"/>
    <w:link w:val="Subtitle"/>
    <w:uiPriority w:val="99"/>
    <w:locked/>
    <w:rsid w:val="008F4C66"/>
    <w:rPr>
      <w:rFonts w:ascii="Cambria" w:eastAsia="宋体" w:hAnsi="Cambria" w:cs="Times New Roman"/>
      <w:color w:val="595959"/>
      <w:spacing w:val="15"/>
      <w:sz w:val="28"/>
      <w:szCs w:val="28"/>
    </w:rPr>
  </w:style>
  <w:style w:type="paragraph" w:styleId="TOC2">
    <w:name w:val="toc 2"/>
    <w:basedOn w:val="Normal"/>
    <w:next w:val="Normal"/>
    <w:uiPriority w:val="99"/>
    <w:rsid w:val="008F4C66"/>
    <w:pPr>
      <w:ind w:leftChars="200" w:left="420"/>
    </w:pPr>
  </w:style>
  <w:style w:type="paragraph" w:styleId="Title">
    <w:name w:val="Title"/>
    <w:basedOn w:val="Normal"/>
    <w:next w:val="Normal"/>
    <w:link w:val="TitleChar"/>
    <w:uiPriority w:val="99"/>
    <w:qFormat/>
    <w:rsid w:val="008F4C66"/>
    <w:pPr>
      <w:spacing w:after="80"/>
      <w:contextualSpacing/>
      <w:jc w:val="center"/>
    </w:pPr>
    <w:rPr>
      <w:rFonts w:ascii="Cambria" w:eastAsia="宋体" w:hAnsi="Cambria"/>
      <w:spacing w:val="-10"/>
      <w:kern w:val="28"/>
      <w:sz w:val="56"/>
      <w:szCs w:val="56"/>
    </w:rPr>
  </w:style>
  <w:style w:type="character" w:customStyle="1" w:styleId="TitleChar">
    <w:name w:val="Title Char"/>
    <w:basedOn w:val="DefaultParagraphFont"/>
    <w:link w:val="Title"/>
    <w:uiPriority w:val="99"/>
    <w:locked/>
    <w:rsid w:val="008F4C66"/>
    <w:rPr>
      <w:rFonts w:ascii="Cambria" w:eastAsia="宋体" w:hAnsi="Cambria" w:cs="Times New Roman"/>
      <w:spacing w:val="-10"/>
      <w:kern w:val="28"/>
      <w:sz w:val="56"/>
      <w:szCs w:val="56"/>
    </w:rPr>
  </w:style>
  <w:style w:type="paragraph" w:styleId="BodyTextFirstIndent2">
    <w:name w:val="Body Text First Indent 2"/>
    <w:basedOn w:val="BodyTextIndent"/>
    <w:link w:val="BodyTextFirstIndent2Char"/>
    <w:uiPriority w:val="99"/>
    <w:semiHidden/>
    <w:rsid w:val="008F4C66"/>
    <w:pPr>
      <w:ind w:firstLineChars="200" w:firstLine="420"/>
    </w:pPr>
  </w:style>
  <w:style w:type="character" w:customStyle="1" w:styleId="BodyTextFirstIndent2Char">
    <w:name w:val="Body Text First Indent 2 Char"/>
    <w:basedOn w:val="BodyTextIndentChar"/>
    <w:link w:val="BodyTextFirstIndent2"/>
    <w:uiPriority w:val="99"/>
    <w:semiHidden/>
    <w:locked/>
    <w:rsid w:val="008F4C66"/>
  </w:style>
  <w:style w:type="character" w:styleId="Hyperlink">
    <w:name w:val="Hyperlink"/>
    <w:basedOn w:val="DefaultParagraphFont"/>
    <w:uiPriority w:val="99"/>
    <w:semiHidden/>
    <w:rsid w:val="008F4C66"/>
    <w:rPr>
      <w:rFonts w:cs="Times New Roman"/>
      <w:color w:val="0000FF"/>
      <w:u w:val="single"/>
    </w:rPr>
  </w:style>
  <w:style w:type="paragraph" w:styleId="Quote">
    <w:name w:val="Quote"/>
    <w:basedOn w:val="Normal"/>
    <w:next w:val="Normal"/>
    <w:link w:val="QuoteChar"/>
    <w:uiPriority w:val="99"/>
    <w:qFormat/>
    <w:rsid w:val="008F4C66"/>
    <w:pPr>
      <w:spacing w:before="160" w:after="160"/>
      <w:jc w:val="center"/>
    </w:pPr>
    <w:rPr>
      <w:i/>
      <w:iCs/>
      <w:color w:val="404040"/>
    </w:rPr>
  </w:style>
  <w:style w:type="character" w:customStyle="1" w:styleId="QuoteChar">
    <w:name w:val="Quote Char"/>
    <w:basedOn w:val="DefaultParagraphFont"/>
    <w:link w:val="Quote"/>
    <w:uiPriority w:val="99"/>
    <w:locked/>
    <w:rsid w:val="008F4C66"/>
    <w:rPr>
      <w:rFonts w:cs="Times New Roman"/>
      <w:i/>
      <w:iCs/>
      <w:color w:val="404040"/>
    </w:rPr>
  </w:style>
  <w:style w:type="paragraph" w:styleId="ListParagraph">
    <w:name w:val="List Paragraph"/>
    <w:basedOn w:val="Normal"/>
    <w:uiPriority w:val="99"/>
    <w:qFormat/>
    <w:rsid w:val="008F4C66"/>
    <w:pPr>
      <w:ind w:left="720"/>
      <w:contextualSpacing/>
    </w:pPr>
  </w:style>
  <w:style w:type="character" w:customStyle="1" w:styleId="1">
    <w:name w:val="明显强调1"/>
    <w:basedOn w:val="DefaultParagraphFont"/>
    <w:uiPriority w:val="99"/>
    <w:rsid w:val="008F4C66"/>
    <w:rPr>
      <w:rFonts w:cs="Times New Roman"/>
      <w:i/>
      <w:iCs/>
      <w:color w:val="365F91"/>
    </w:rPr>
  </w:style>
  <w:style w:type="paragraph" w:styleId="IntenseQuote">
    <w:name w:val="Intense Quote"/>
    <w:basedOn w:val="Normal"/>
    <w:next w:val="Normal"/>
    <w:link w:val="IntenseQuoteChar"/>
    <w:uiPriority w:val="99"/>
    <w:qFormat/>
    <w:rsid w:val="008F4C66"/>
    <w:pPr>
      <w:pBdr>
        <w:top w:val="single" w:sz="4" w:space="10" w:color="365F91"/>
        <w:bottom w:val="single" w:sz="4" w:space="10" w:color="365F91"/>
      </w:pBdr>
      <w:spacing w:before="360" w:after="360"/>
      <w:ind w:left="864" w:right="864"/>
      <w:jc w:val="center"/>
    </w:pPr>
    <w:rPr>
      <w:i/>
      <w:iCs/>
      <w:color w:val="365F91"/>
    </w:rPr>
  </w:style>
  <w:style w:type="character" w:customStyle="1" w:styleId="IntenseQuoteChar">
    <w:name w:val="Intense Quote Char"/>
    <w:basedOn w:val="DefaultParagraphFont"/>
    <w:link w:val="IntenseQuote"/>
    <w:uiPriority w:val="99"/>
    <w:locked/>
    <w:rsid w:val="008F4C66"/>
    <w:rPr>
      <w:rFonts w:cs="Times New Roman"/>
      <w:i/>
      <w:iCs/>
      <w:color w:val="365F91"/>
    </w:rPr>
  </w:style>
  <w:style w:type="character" w:customStyle="1" w:styleId="10">
    <w:name w:val="明显参考1"/>
    <w:basedOn w:val="DefaultParagraphFont"/>
    <w:uiPriority w:val="99"/>
    <w:rsid w:val="008F4C66"/>
    <w:rPr>
      <w:rFonts w:cs="Times New Roman"/>
      <w:b/>
      <w:bCs/>
      <w:smallCaps/>
      <w:color w:val="365F91"/>
      <w:spacing w:val="5"/>
    </w:rPr>
  </w:style>
  <w:style w:type="paragraph" w:customStyle="1" w:styleId="21bc9c4b-6a32-43e5-beaa-fd2d792c5735">
    <w:name w:val="21bc9c4b-6a32-43e5-beaa-fd2d792c5735"/>
    <w:basedOn w:val="Heading1"/>
    <w:next w:val="acbfdd8b-e11b-4d36-88ff-6049b138f862"/>
    <w:link w:val="21bc9c4b-6a32-43e5-beaa-fd2d792c57350"/>
    <w:uiPriority w:val="99"/>
    <w:rsid w:val="008F4C66"/>
    <w:pPr>
      <w:adjustRightInd w:val="0"/>
      <w:spacing w:before="0" w:after="0" w:line="288" w:lineRule="auto"/>
      <w:ind w:firstLineChars="200" w:firstLine="200"/>
      <w:jc w:val="left"/>
    </w:pPr>
    <w:rPr>
      <w:rFonts w:ascii="微软雅黑" w:eastAsia="微软雅黑" w:hAnsi="微软雅黑"/>
      <w:b/>
      <w:color w:val="000000"/>
      <w:sz w:val="32"/>
    </w:rPr>
  </w:style>
  <w:style w:type="paragraph" w:customStyle="1" w:styleId="acbfdd8b-e11b-4d36-88ff-6049b138f862">
    <w:name w:val="acbfdd8b-e11b-4d36-88ff-6049b138f862"/>
    <w:basedOn w:val="Normal"/>
    <w:link w:val="acbfdd8b-e11b-4d36-88ff-6049b138f8620"/>
    <w:uiPriority w:val="99"/>
    <w:rsid w:val="008F4C66"/>
    <w:pPr>
      <w:adjustRightInd w:val="0"/>
      <w:spacing w:line="288" w:lineRule="auto"/>
      <w:ind w:firstLineChars="200" w:firstLine="200"/>
      <w:jc w:val="left"/>
    </w:pPr>
    <w:rPr>
      <w:rFonts w:ascii="微软雅黑" w:eastAsia="微软雅黑" w:hAnsi="微软雅黑"/>
      <w:color w:val="000000"/>
      <w:sz w:val="22"/>
    </w:rPr>
  </w:style>
  <w:style w:type="character" w:customStyle="1" w:styleId="21bc9c4b-6a32-43e5-beaa-fd2d792c57350">
    <w:name w:val="21bc9c4b-6a32-43e5-beaa-fd2d792c5735 字符"/>
    <w:basedOn w:val="DefaultParagraphFont"/>
    <w:link w:val="21bc9c4b-6a32-43e5-beaa-fd2d792c5735"/>
    <w:uiPriority w:val="99"/>
    <w:locked/>
    <w:rsid w:val="008F4C66"/>
    <w:rPr>
      <w:rFonts w:ascii="微软雅黑" w:eastAsia="微软雅黑" w:hAnsi="微软雅黑" w:cs="Times New Roman"/>
      <w:b/>
      <w:color w:val="000000"/>
      <w:kern w:val="2"/>
      <w:sz w:val="48"/>
      <w:szCs w:val="48"/>
    </w:rPr>
  </w:style>
  <w:style w:type="character" w:customStyle="1" w:styleId="acbfdd8b-e11b-4d36-88ff-6049b138f8620">
    <w:name w:val="acbfdd8b-e11b-4d36-88ff-6049b138f862 字符"/>
    <w:basedOn w:val="DefaultParagraphFont"/>
    <w:link w:val="acbfdd8b-e11b-4d36-88ff-6049b138f862"/>
    <w:uiPriority w:val="99"/>
    <w:locked/>
    <w:rsid w:val="008F4C66"/>
    <w:rPr>
      <w:rFonts w:ascii="微软雅黑" w:eastAsia="微软雅黑" w:hAnsi="微软雅黑" w:cs="Times New Roman"/>
      <w:color w:val="000000"/>
      <w:kern w:val="2"/>
      <w:sz w:val="22"/>
      <w:szCs w:val="22"/>
    </w:rPr>
  </w:style>
  <w:style w:type="paragraph" w:customStyle="1" w:styleId="bd243d13-394e-4bd9-99c9-3a29947aa2a1">
    <w:name w:val="bd243d13-394e-4bd9-99c9-3a29947aa2a1"/>
    <w:basedOn w:val="BodyTextFirstIndent2"/>
    <w:link w:val="bd243d13-394e-4bd9-99c9-3a29947aa2a10"/>
    <w:uiPriority w:val="99"/>
    <w:rsid w:val="008F4C66"/>
    <w:pPr>
      <w:adjustRightInd w:val="0"/>
      <w:spacing w:after="0" w:line="600" w:lineRule="exact"/>
      <w:ind w:left="0" w:firstLine="640"/>
    </w:pPr>
    <w:rPr>
      <w:rFonts w:ascii="仿宋" w:hAnsi="仿宋"/>
      <w:color w:val="000000"/>
    </w:rPr>
  </w:style>
  <w:style w:type="character" w:customStyle="1" w:styleId="bd243d13-394e-4bd9-99c9-3a29947aa2a10">
    <w:name w:val="bd243d13-394e-4bd9-99c9-3a29947aa2a1 字符"/>
    <w:basedOn w:val="DefaultParagraphFont"/>
    <w:link w:val="bd243d13-394e-4bd9-99c9-3a29947aa2a1"/>
    <w:uiPriority w:val="99"/>
    <w:locked/>
    <w:rsid w:val="008F4C66"/>
    <w:rPr>
      <w:rFonts w:ascii="仿宋" w:eastAsia="仿宋" w:hAnsi="仿宋" w:cs="Times New Roman"/>
      <w:color w:val="000000"/>
      <w:kern w:val="2"/>
      <w:sz w:val="22"/>
      <w:szCs w:val="22"/>
    </w:rPr>
  </w:style>
  <w:style w:type="paragraph" w:customStyle="1" w:styleId="72c23eac-05e5-485a-9b67-1c7dbe1944ac">
    <w:name w:val="72c23eac-05e5-485a-9b67-1c7dbe1944ac"/>
    <w:basedOn w:val="Heading1"/>
    <w:next w:val="7e8dc108-4af0-426d-bb9c-8f96acaaca48"/>
    <w:link w:val="72c23eac-05e5-485a-9b67-1c7dbe1944ac0"/>
    <w:uiPriority w:val="99"/>
    <w:rsid w:val="008F4C66"/>
    <w:pPr>
      <w:numPr>
        <w:numId w:val="1"/>
      </w:numPr>
      <w:adjustRightInd w:val="0"/>
      <w:spacing w:before="0" w:after="0" w:line="600" w:lineRule="exact"/>
    </w:pPr>
    <w:rPr>
      <w:rFonts w:ascii="黑体" w:eastAsia="黑体" w:hAnsi="黑体"/>
      <w:b/>
      <w:color w:val="000000"/>
      <w:sz w:val="32"/>
    </w:rPr>
  </w:style>
  <w:style w:type="paragraph" w:customStyle="1" w:styleId="7e8dc108-4af0-426d-bb9c-8f96acaaca48">
    <w:name w:val="7e8dc108-4af0-426d-bb9c-8f96acaaca48"/>
    <w:basedOn w:val="Normal"/>
    <w:link w:val="7e8dc108-4af0-426d-bb9c-8f96acaaca480"/>
    <w:uiPriority w:val="99"/>
    <w:rsid w:val="008F4C66"/>
    <w:pPr>
      <w:adjustRightInd w:val="0"/>
      <w:spacing w:line="600" w:lineRule="exact"/>
    </w:pPr>
    <w:rPr>
      <w:rFonts w:ascii="仿宋" w:hAnsi="仿宋"/>
      <w:color w:val="000000"/>
    </w:rPr>
  </w:style>
  <w:style w:type="character" w:customStyle="1" w:styleId="72c23eac-05e5-485a-9b67-1c7dbe1944ac0">
    <w:name w:val="72c23eac-05e5-485a-9b67-1c7dbe1944ac 字符"/>
    <w:basedOn w:val="bd243d13-394e-4bd9-99c9-3a29947aa2a10"/>
    <w:link w:val="72c23eac-05e5-485a-9b67-1c7dbe1944ac"/>
    <w:uiPriority w:val="99"/>
    <w:locked/>
    <w:rsid w:val="008F4C66"/>
    <w:rPr>
      <w:rFonts w:ascii="黑体" w:eastAsia="黑体" w:hAnsi="黑体"/>
      <w:b/>
      <w:sz w:val="48"/>
      <w:szCs w:val="48"/>
    </w:rPr>
  </w:style>
  <w:style w:type="character" w:customStyle="1" w:styleId="7e8dc108-4af0-426d-bb9c-8f96acaaca480">
    <w:name w:val="7e8dc108-4af0-426d-bb9c-8f96acaaca48 字符"/>
    <w:basedOn w:val="bd243d13-394e-4bd9-99c9-3a29947aa2a10"/>
    <w:link w:val="7e8dc108-4af0-426d-bb9c-8f96acaaca48"/>
    <w:uiPriority w:val="99"/>
    <w:locked/>
    <w:rsid w:val="008F4C66"/>
  </w:style>
  <w:style w:type="paragraph" w:customStyle="1" w:styleId="433e907c-22c4-47aa-a0e2-5f03f9a2dc40">
    <w:name w:val="433e907c-22c4-47aa-a0e2-5f03f9a2dc40"/>
    <w:basedOn w:val="Heading2"/>
    <w:next w:val="7e8dc108-4af0-426d-bb9c-8f96acaaca48"/>
    <w:link w:val="433e907c-22c4-47aa-a0e2-5f03f9a2dc400"/>
    <w:uiPriority w:val="99"/>
    <w:rsid w:val="008F4C66"/>
    <w:pPr>
      <w:numPr>
        <w:ilvl w:val="1"/>
        <w:numId w:val="1"/>
      </w:numPr>
      <w:adjustRightInd w:val="0"/>
      <w:spacing w:before="0" w:after="0" w:line="600" w:lineRule="exact"/>
    </w:pPr>
    <w:rPr>
      <w:rFonts w:ascii="楷体" w:eastAsia="楷体" w:hAnsi="楷体"/>
      <w:b/>
      <w:color w:val="000000"/>
      <w:sz w:val="32"/>
    </w:rPr>
  </w:style>
  <w:style w:type="character" w:customStyle="1" w:styleId="433e907c-22c4-47aa-a0e2-5f03f9a2dc400">
    <w:name w:val="433e907c-22c4-47aa-a0e2-5f03f9a2dc40 字符"/>
    <w:basedOn w:val="bd243d13-394e-4bd9-99c9-3a29947aa2a10"/>
    <w:link w:val="433e907c-22c4-47aa-a0e2-5f03f9a2dc40"/>
    <w:uiPriority w:val="99"/>
    <w:locked/>
    <w:rsid w:val="008F4C66"/>
    <w:rPr>
      <w:rFonts w:ascii="楷体" w:eastAsia="楷体" w:hAnsi="楷体"/>
      <w:b/>
      <w:sz w:val="40"/>
      <w:szCs w:val="40"/>
    </w:rPr>
  </w:style>
  <w:style w:type="paragraph" w:customStyle="1" w:styleId="0d7c9686-6cc7-4172-bf19-7b8f5cff8c60">
    <w:name w:val="0d7c9686-6cc7-4172-bf19-7b8f5cff8c60"/>
    <w:basedOn w:val="Heading3"/>
    <w:next w:val="7e8dc108-4af0-426d-bb9c-8f96acaaca48"/>
    <w:link w:val="0d7c9686-6cc7-4172-bf19-7b8f5cff8c600"/>
    <w:uiPriority w:val="99"/>
    <w:rsid w:val="008F4C66"/>
    <w:pPr>
      <w:numPr>
        <w:ilvl w:val="2"/>
        <w:numId w:val="1"/>
      </w:numPr>
      <w:adjustRightInd w:val="0"/>
      <w:spacing w:before="0" w:after="0" w:line="600" w:lineRule="exact"/>
    </w:pPr>
    <w:rPr>
      <w:rFonts w:ascii="仿宋" w:eastAsia="仿宋" w:hAnsi="仿宋"/>
      <w:b/>
      <w:color w:val="000000"/>
    </w:rPr>
  </w:style>
  <w:style w:type="character" w:customStyle="1" w:styleId="0d7c9686-6cc7-4172-bf19-7b8f5cff8c600">
    <w:name w:val="0d7c9686-6cc7-4172-bf19-7b8f5cff8c60 字符"/>
    <w:basedOn w:val="bd243d13-394e-4bd9-99c9-3a29947aa2a10"/>
    <w:link w:val="0d7c9686-6cc7-4172-bf19-7b8f5cff8c60"/>
    <w:uiPriority w:val="99"/>
    <w:locked/>
    <w:rsid w:val="008F4C66"/>
    <w:rPr>
      <w:b/>
      <w:sz w:val="32"/>
      <w:szCs w:val="32"/>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4</TotalTime>
  <Pages>32</Pages>
  <Words>2141</Words>
  <Characters>12206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hw r</dc:creator>
  <cp:keywords/>
  <dc:description/>
  <cp:lastModifiedBy>周莉华</cp:lastModifiedBy>
  <cp:revision>19</cp:revision>
  <dcterms:created xsi:type="dcterms:W3CDTF">2025-06-16T04:16:00Z</dcterms:created>
  <dcterms:modified xsi:type="dcterms:W3CDTF">2025-07-04T02:23:00Z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eyJoZGlkIjoiYjFmZDM3ZmFjYTYzZTNkNzQ4Njc5OTczMzc0YTE4OWUiLCJ1c2VySWQiOiIxNjU5MDcwNSJ9</vt:lpwstr>
  </property>
  <property fmtid="{D5CDD505-2E9C-101B-9397-08002B2CF9AE}" pid="3" name="KSOProductBuildVer">
    <vt:lpwstr>2052-12.1.0.21541</vt:lpwstr>
  </property>
  <property fmtid="{D5CDD505-2E9C-101B-9397-08002B2CF9AE}" pid="4" name="ICV">
    <vt:lpwstr>CE371B98B3824A06A624A2D993EE5773_12</vt:lpwstr>
  </property>
</Properties>
</file>