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320" w:lineRule="exact"/>
        <w:jc w:val="center"/>
        <w:rPr>
          <w:rFonts w:ascii="方正小标宋_GBK" w:eastAsia="方正小标宋_GBK"/>
          <w:snapToGrid w:val="0"/>
          <w:color w:val="FF0000"/>
          <w:w w:val="45"/>
          <w:kern w:val="0"/>
          <w:sz w:val="108"/>
          <w:szCs w:val="108"/>
        </w:rPr>
      </w:pPr>
      <w:r>
        <w:rPr>
          <w:rFonts w:hint="eastAsia" w:ascii="方正小标宋_GBK" w:hAnsi="华文中宋" w:eastAsia="方正小标宋_GBK"/>
          <w:snapToGrid w:val="0"/>
          <w:color w:val="FF0000"/>
          <w:w w:val="45"/>
          <w:kern w:val="0"/>
          <w:sz w:val="108"/>
          <w:szCs w:val="108"/>
        </w:rPr>
        <w:t>重庆市渝北区蓝天行动督查办公室文件</w:t>
      </w:r>
    </w:p>
    <w:p>
      <w:pPr>
        <w:snapToGrid w:val="0"/>
        <w:jc w:val="center"/>
        <w:rPr>
          <w:rFonts w:ascii="楷体_GB2312" w:eastAsia="楷体_GB2312"/>
          <w:szCs w:val="32"/>
        </w:rPr>
      </w:pPr>
      <w:r>
        <w:rPr>
          <w:rFonts w:ascii="楷体_GB2312" w:eastAsia="楷体_GB2312"/>
          <w:color w:val="FF0000"/>
          <w:szCs w:val="32"/>
        </w:rPr>
        <w:pict>
          <v:line id="直线 85" o:spid="_x0000_s2050" o:spt="20" style="position:absolute;left:0pt;margin-left:-2.8pt;margin-top:7.95pt;height:0pt;width:441.2pt;z-index:251660288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渝北蓝督办〔202</w:t>
      </w:r>
      <w:r>
        <w:rPr>
          <w:rFonts w:hint="eastAsia" w:ascii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/>
          <w:sz w:val="32"/>
          <w:szCs w:val="32"/>
        </w:rPr>
        <w:t>11</w:t>
      </w:r>
      <w:r>
        <w:rPr>
          <w:rFonts w:hint="eastAsia" w:ascii="方正仿宋_GBK" w:eastAsia="方正仿宋_GBK"/>
          <w:sz w:val="32"/>
          <w:szCs w:val="32"/>
        </w:rPr>
        <w:t>号</w:t>
      </w:r>
    </w:p>
    <w:p>
      <w:pPr>
        <w:snapToGrid w:val="0"/>
        <w:jc w:val="center"/>
        <w:rPr>
          <w:rFonts w:ascii="方正小标宋_GBK" w:eastAsia="方正小标宋_GBK"/>
          <w:spacing w:val="-4"/>
          <w:sz w:val="44"/>
          <w:szCs w:val="44"/>
        </w:rPr>
      </w:pPr>
    </w:p>
    <w:p>
      <w:pPr>
        <w:snapToGrid w:val="0"/>
        <w:jc w:val="center"/>
        <w:rPr>
          <w:rFonts w:ascii="方正小标宋_GBK" w:eastAsia="方正小标宋_GBK"/>
          <w:spacing w:val="-4"/>
          <w:sz w:val="44"/>
          <w:szCs w:val="44"/>
        </w:rPr>
      </w:pPr>
      <w:r>
        <w:rPr>
          <w:rFonts w:hint="eastAsia" w:ascii="方正小标宋_GBK" w:eastAsia="方正小标宋_GBK"/>
          <w:spacing w:val="-4"/>
          <w:sz w:val="44"/>
          <w:szCs w:val="44"/>
        </w:rPr>
        <w:t>关于进一步加强夏秋季臭氧污染防治工作的通知</w:t>
      </w:r>
    </w:p>
    <w:p>
      <w:pPr>
        <w:widowControl/>
        <w:shd w:val="clear" w:color="auto" w:fill="FFFFFF"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snapToGrid w:val="0"/>
        <w:spacing w:line="640" w:lineRule="exact"/>
        <w:jc w:val="left"/>
        <w:rPr>
          <w:rFonts w:ascii="方正楷体_GBK" w:hAnsi="楷体" w:eastAsia="方正楷体_GBK"/>
          <w:sz w:val="32"/>
          <w:szCs w:val="32"/>
        </w:rPr>
      </w:pPr>
      <w:r>
        <w:rPr>
          <w:rFonts w:hint="eastAsia" w:ascii="方正楷体_GBK" w:hAnsi="楷体" w:eastAsia="方正楷体_GBK"/>
          <w:sz w:val="32"/>
          <w:szCs w:val="32"/>
        </w:rPr>
        <w:t>各镇街，各相关部门，有关单位：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　</w:t>
      </w: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为进一步加强夏季臭氧管控，切实减轻臭氧污染，促进空气质量持续改善，现将有关事项通知如下：</w:t>
      </w:r>
    </w:p>
    <w:p>
      <w:pPr>
        <w:widowControl/>
        <w:shd w:val="clear" w:color="auto" w:fill="FFFFFF"/>
        <w:spacing w:line="450" w:lineRule="atLeast"/>
        <w:jc w:val="left"/>
        <w:rPr>
          <w:rFonts w:ascii="方正黑体_GBK" w:hAnsi="华文仿宋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</w:t>
      </w:r>
      <w:r>
        <w:rPr>
          <w:rFonts w:hint="eastAsia" w:ascii="方正仿宋_GBK" w:hAnsi="华文仿宋" w:eastAsia="方正仿宋_GBK" w:cs="宋体"/>
          <w:b/>
          <w:bCs/>
          <w:color w:val="000000"/>
          <w:kern w:val="0"/>
          <w:sz w:val="32"/>
          <w:szCs w:val="32"/>
        </w:rPr>
        <w:t>　</w:t>
      </w:r>
      <w:r>
        <w:rPr>
          <w:rFonts w:hint="eastAsia" w:ascii="方正黑体_GBK" w:hAnsi="华文仿宋" w:eastAsia="方正黑体_GBK" w:cs="宋体"/>
          <w:bCs/>
          <w:color w:val="000000"/>
          <w:kern w:val="0"/>
          <w:sz w:val="32"/>
          <w:szCs w:val="32"/>
        </w:rPr>
        <w:t>一、强化日常监督管理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　各有关部门要加大对易导致臭氧上升企业的日常监管，明确主要污染物及排放强度，建立监管企业台账。一方面要以石化、化工、工业涂装、包装印刷以及油品储运销等行业为重点，建立挥发性有机物重点监管台账；另一方面要以大型燃煤锅炉、工业炉窑为重点，建立氮氧化物重点监管台账。加强分析研判，通过无人机、走航巡查等现代化手段，科学确定监管对象，结合空气质量数据，聚焦重点区域、重点时段和重点行业，精准识别臭氧污染的原因，实施精准管控。</w:t>
      </w:r>
    </w:p>
    <w:p>
      <w:pPr>
        <w:widowControl/>
        <w:shd w:val="clear" w:color="auto" w:fill="FFFFFF"/>
        <w:spacing w:line="450" w:lineRule="atLeast"/>
        <w:jc w:val="left"/>
        <w:rPr>
          <w:rFonts w:ascii="方正黑体_GBK" w:hAnsi="华文仿宋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</w:t>
      </w:r>
      <w:r>
        <w:rPr>
          <w:rFonts w:hint="eastAsia" w:ascii="方正仿宋_GBK" w:hAnsi="华文仿宋" w:eastAsia="方正仿宋_GBK" w:cs="宋体"/>
          <w:b/>
          <w:bCs/>
          <w:color w:val="000000"/>
          <w:kern w:val="0"/>
          <w:sz w:val="32"/>
          <w:szCs w:val="32"/>
        </w:rPr>
        <w:t>　</w:t>
      </w:r>
      <w:r>
        <w:rPr>
          <w:rFonts w:hint="eastAsia" w:ascii="方正黑体_GBK" w:hAnsi="华文仿宋" w:eastAsia="方正黑体_GBK" w:cs="宋体"/>
          <w:bCs/>
          <w:color w:val="000000"/>
          <w:kern w:val="0"/>
          <w:sz w:val="32"/>
          <w:szCs w:val="32"/>
        </w:rPr>
        <w:t>二、开展专项执法行动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　各有关部门在开展夏季臭氧管控专项执法行动时，结合日常监管的情况，拟定执法检查清单，按照“双随机、一公开”和“四不两直”的方式进行检查。要注重在线监测等非现场执法手段的运用，要坚持监测与执法联动，及时发现企业环境违法行为。对不能稳定达标排放、不满足无组织排放控制要求、违反排污许可、在线监测设备不正常运行的企业，要依法依规予以查处。通报曝光一批典型案例，进一步加大对违法企业的震慑力度。</w:t>
      </w:r>
    </w:p>
    <w:p>
      <w:pPr>
        <w:widowControl/>
        <w:shd w:val="clear" w:color="auto" w:fill="FFFFFF"/>
        <w:spacing w:line="450" w:lineRule="atLeast"/>
        <w:jc w:val="left"/>
        <w:rPr>
          <w:rFonts w:ascii="方正黑体_GBK" w:hAnsi="华文仿宋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华文仿宋" w:eastAsia="方正黑体_GBK" w:cs="宋体"/>
          <w:color w:val="000000"/>
          <w:kern w:val="0"/>
          <w:sz w:val="32"/>
          <w:szCs w:val="32"/>
        </w:rPr>
        <w:t>　</w:t>
      </w:r>
      <w:r>
        <w:rPr>
          <w:rFonts w:hint="eastAsia" w:ascii="方正黑体_GBK" w:hAnsi="华文仿宋" w:eastAsia="方正黑体_GBK" w:cs="宋体"/>
          <w:bCs/>
          <w:color w:val="000000"/>
          <w:kern w:val="0"/>
          <w:sz w:val="32"/>
          <w:szCs w:val="32"/>
        </w:rPr>
        <w:t>　三、提升企业治理能力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　各有关部门要运用好日常监管和专项执法的成果，建立问题整改台账，指导企业制定有针对性的整改措施，明确责任人和整改时限。要密切跟踪调度整改进度，实行销号制度和清单化管理，规范企业的管理行为。要帮助企业谋划实施一批深度治理项目，支持企业申报大气污染防治专项资金，通过治理项目提升污染治理现代化水平，削减主要污染物排放量，减少夏季臭氧污染发生，促进空气质量持续改善。</w:t>
      </w:r>
    </w:p>
    <w:p>
      <w:pPr>
        <w:widowControl/>
        <w:shd w:val="clear" w:color="auto" w:fill="FFFFFF"/>
        <w:spacing w:line="450" w:lineRule="atLeast"/>
        <w:jc w:val="left"/>
        <w:rPr>
          <w:rFonts w:ascii="方正黑体_GBK" w:hAnsi="华文仿宋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华文仿宋" w:eastAsia="方正黑体_GBK" w:cs="宋体"/>
          <w:color w:val="000000"/>
          <w:kern w:val="0"/>
          <w:sz w:val="32"/>
          <w:szCs w:val="32"/>
        </w:rPr>
        <w:t>　</w:t>
      </w:r>
      <w:r>
        <w:rPr>
          <w:rFonts w:hint="eastAsia" w:ascii="方正黑体_GBK" w:hAnsi="华文仿宋" w:eastAsia="方正黑体_GBK" w:cs="宋体"/>
          <w:bCs/>
          <w:color w:val="000000"/>
          <w:kern w:val="0"/>
          <w:sz w:val="32"/>
          <w:szCs w:val="32"/>
        </w:rPr>
        <w:t>　四、强化落实责任</w:t>
      </w:r>
    </w:p>
    <w:p>
      <w:pPr>
        <w:pStyle w:val="2"/>
        <w:keepNext w:val="0"/>
        <w:keepLines w:val="0"/>
        <w:widowControl/>
        <w:snapToGrid w:val="0"/>
        <w:spacing w:before="0" w:after="0" w:line="560" w:lineRule="exact"/>
        <w:ind w:firstLine="640" w:firstLineChars="200"/>
        <w:rPr>
          <w:rFonts w:ascii="Times New Roman" w:hAnsi="Times New Roman" w:eastAsia="方正仿宋_GBK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区政府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蓝天办统筹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全区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夏秋季臭氧污染防控工作，紧盯污染指数，逐日逐时调度防治工作。区级相关部门、镇街、国有公司严格按《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关于印发重庆市渝北区夏秋季臭氧污染防治攻坚工作方案的通知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》（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渝北环委办发〔2023〕2号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）要求，明确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攻坚目标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安排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工作力量，突出工作重点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b w:val="0"/>
          <w:bCs w:val="0"/>
          <w:color w:val="000000" w:themeColor="text1"/>
          <w:sz w:val="32"/>
          <w:szCs w:val="32"/>
        </w:rPr>
        <w:t>特别是要强化工业企业、餐饮油烟、移动污染源的污染治理设施“三率”偏低及监管无力的责任追究；落实重污染天气应对措施无力的企业主、职能部门等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）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，有序抓好落实。区政府蓝天办及时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汇总和通报工作进展</w:t>
      </w:r>
      <w:r>
        <w:rPr>
          <w:rFonts w:ascii="Times New Roman" w:hAnsi="Times New Roman" w:eastAsia="方正仿宋_GBK"/>
          <w:b w:val="0"/>
          <w:bCs w:val="0"/>
          <w:sz w:val="32"/>
          <w:szCs w:val="32"/>
        </w:rPr>
        <w:t>，协调解决工作中存在的问题。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　</w:t>
      </w:r>
    </w:p>
    <w:p>
      <w:pPr>
        <w:widowControl/>
        <w:shd w:val="clear" w:color="auto" w:fill="FFFFFF"/>
        <w:spacing w:line="450" w:lineRule="atLeast"/>
        <w:ind w:firstLine="480" w:firstLineChars="150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特此通知。</w:t>
      </w:r>
    </w:p>
    <w:p>
      <w:pPr>
        <w:widowControl/>
        <w:shd w:val="clear" w:color="auto" w:fill="FFFFFF"/>
        <w:spacing w:line="450" w:lineRule="atLeast"/>
        <w:jc w:val="left"/>
        <w:rPr>
          <w:rFonts w:ascii="方正仿宋_GBK" w:hAnsi="华文仿宋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华文仿宋" w:eastAsia="方正仿宋_GBK" w:cs="宋体"/>
          <w:color w:val="000000"/>
          <w:kern w:val="0"/>
          <w:sz w:val="32"/>
          <w:szCs w:val="32"/>
        </w:rPr>
        <w:t>　　</w:t>
      </w:r>
    </w:p>
    <w:p>
      <w:pPr>
        <w:snapToGrid w:val="0"/>
        <w:spacing w:line="600" w:lineRule="exact"/>
        <w:rPr>
          <w:rFonts w:ascii="Times New Roman" w:hAnsi="Times New Roman" w:eastAsia="方正仿宋简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简体"/>
          <w:sz w:val="32"/>
          <w:szCs w:val="32"/>
        </w:rPr>
        <w:t xml:space="preserve">  </w:t>
      </w:r>
    </w:p>
    <w:p>
      <w:pPr>
        <w:snapToGrid w:val="0"/>
        <w:spacing w:line="600" w:lineRule="exact"/>
        <w:ind w:left="1039" w:leftChars="495" w:firstLine="2400" w:firstLineChars="7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重庆市渝北区蓝天行动督查办公室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20</w:t>
      </w:r>
      <w:r>
        <w:rPr>
          <w:rFonts w:hint="eastAsia"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/>
          <w:sz w:val="32"/>
          <w:szCs w:val="32"/>
        </w:rPr>
        <w:t>3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/>
          <w:sz w:val="32"/>
          <w:szCs w:val="32"/>
        </w:rPr>
        <w:t>5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/>
          <w:sz w:val="32"/>
          <w:szCs w:val="32"/>
        </w:rPr>
        <w:t>15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08B9"/>
    <w:rsid w:val="000F08DE"/>
    <w:rsid w:val="000F33D7"/>
    <w:rsid w:val="001518F9"/>
    <w:rsid w:val="001A7F29"/>
    <w:rsid w:val="0023180D"/>
    <w:rsid w:val="003A2504"/>
    <w:rsid w:val="004645CF"/>
    <w:rsid w:val="004908B9"/>
    <w:rsid w:val="00587BB7"/>
    <w:rsid w:val="005E7741"/>
    <w:rsid w:val="006E2B4C"/>
    <w:rsid w:val="008E1134"/>
    <w:rsid w:val="00922352"/>
    <w:rsid w:val="00A06F5D"/>
    <w:rsid w:val="00B90E98"/>
    <w:rsid w:val="00C2723B"/>
    <w:rsid w:val="00C76A0E"/>
    <w:rsid w:val="00D14D44"/>
    <w:rsid w:val="00D32792"/>
    <w:rsid w:val="00D62597"/>
    <w:rsid w:val="00D7063D"/>
    <w:rsid w:val="00EE00A8"/>
    <w:rsid w:val="4375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标题 4 Char"/>
    <w:basedOn w:val="6"/>
    <w:link w:val="2"/>
    <w:uiPriority w:val="9"/>
    <w:rPr>
      <w:rFonts w:ascii="Cambria" w:hAnsi="Cambria" w:eastAsia="宋体" w:cs="Times New Roman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161</Words>
  <Characters>918</Characters>
  <Lines>7</Lines>
  <Paragraphs>2</Paragraphs>
  <TotalTime>24</TotalTime>
  <ScaleCrop>false</ScaleCrop>
  <LinksUpToDate>false</LinksUpToDate>
  <CharactersWithSpaces>1077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2023-05-12T01:14:00Z</dcterms:created>
  <dc:creator>User</dc:creator>
  <cp:lastModifiedBy>徐菲</cp:lastModifiedBy>
  <dcterms:modified xsi:type="dcterms:W3CDTF">2023-11-08T04:03:59Z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